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AD7E0" w14:textId="7165D4D8" w:rsidR="00DB239B" w:rsidRPr="00DB239B" w:rsidRDefault="00DB239B" w:rsidP="003F4A02">
      <w:pPr>
        <w:pStyle w:val="Numbered"/>
        <w:rPr>
          <w:rFonts w:ascii="Arial" w:hAnsi="Arial" w:cs="Arial"/>
          <w:b/>
          <w:bCs/>
        </w:rPr>
      </w:pPr>
      <w:r w:rsidRPr="00E71271">
        <w:rPr>
          <w:rFonts w:ascii="Segoe UI" w:hAnsi="Segoe UI" w:cs="Segoe UI"/>
          <w:b/>
          <w:bCs/>
          <w:sz w:val="21"/>
          <w:szCs w:val="21"/>
          <w:shd w:val="clear" w:color="auto" w:fill="FFFFFF"/>
        </w:rPr>
        <w:t xml:space="preserve">This document is for reference outside the Department's Jaggaer </w:t>
      </w:r>
      <w:proofErr w:type="spellStart"/>
      <w:r w:rsidRPr="00E71271">
        <w:rPr>
          <w:rFonts w:ascii="Segoe UI" w:hAnsi="Segoe UI" w:cs="Segoe UI"/>
          <w:b/>
          <w:bCs/>
          <w:sz w:val="21"/>
          <w:szCs w:val="21"/>
          <w:shd w:val="clear" w:color="auto" w:fill="FFFFFF"/>
        </w:rPr>
        <w:t>eSourcing</w:t>
      </w:r>
      <w:proofErr w:type="spellEnd"/>
      <w:r w:rsidRPr="00E71271">
        <w:rPr>
          <w:rFonts w:ascii="Segoe UI" w:hAnsi="Segoe UI" w:cs="Segoe UI"/>
          <w:b/>
          <w:bCs/>
          <w:sz w:val="21"/>
          <w:szCs w:val="21"/>
          <w:shd w:val="clear" w:color="auto" w:fill="FFFFFF"/>
        </w:rPr>
        <w:t xml:space="preserve"> Portal only. All applicants should ensure they download and read all documents on Jaggaer before applying.</w:t>
      </w:r>
    </w:p>
    <w:p w14:paraId="78264101" w14:textId="381EE52E" w:rsidR="003F4A02" w:rsidRPr="00566D69" w:rsidRDefault="003F4A02" w:rsidP="003F4A02">
      <w:pPr>
        <w:pStyle w:val="Numbered"/>
        <w:rPr>
          <w:rFonts w:ascii="Arial" w:hAnsi="Arial" w:cs="Arial"/>
          <w:b/>
        </w:rPr>
      </w:pPr>
      <w:r w:rsidRPr="00566D69">
        <w:rPr>
          <w:rFonts w:ascii="Arial" w:hAnsi="Arial" w:cs="Arial"/>
          <w:b/>
          <w:noProof/>
          <w:lang w:val="en-GB"/>
        </w:rPr>
        <w:drawing>
          <wp:inline distT="0" distB="0" distL="0" distR="0" wp14:anchorId="53B1DBF1" wp14:editId="694F7FF2">
            <wp:extent cx="1342390" cy="819150"/>
            <wp:effectExtent l="0" t="0" r="0"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2390" cy="819150"/>
                    </a:xfrm>
                    <a:prstGeom prst="rect">
                      <a:avLst/>
                    </a:prstGeom>
                    <a:noFill/>
                    <a:ln>
                      <a:noFill/>
                    </a:ln>
                  </pic:spPr>
                </pic:pic>
              </a:graphicData>
            </a:graphic>
          </wp:inline>
        </w:drawing>
      </w:r>
    </w:p>
    <w:p w14:paraId="6E98CCA1" w14:textId="205FFE0E" w:rsidR="003F4A02" w:rsidRPr="00566D69" w:rsidRDefault="005F2F3E" w:rsidP="00B47A98">
      <w:pPr>
        <w:pStyle w:val="Numbered"/>
        <w:rPr>
          <w:rFonts w:ascii="Arial" w:hAnsi="Arial" w:cs="Arial"/>
          <w:b/>
        </w:rPr>
      </w:pPr>
      <w:r>
        <w:rPr>
          <w:rFonts w:ascii="Arial" w:hAnsi="Arial" w:cs="Arial"/>
          <w:b/>
        </w:rPr>
        <w:t xml:space="preserve">Maths Hub Lead School </w:t>
      </w:r>
      <w:r w:rsidR="00A71285">
        <w:rPr>
          <w:rFonts w:ascii="Arial" w:hAnsi="Arial" w:cs="Arial"/>
          <w:b/>
        </w:rPr>
        <w:t xml:space="preserve">Application </w:t>
      </w:r>
      <w:r w:rsidR="00A73326">
        <w:rPr>
          <w:rFonts w:ascii="Arial" w:hAnsi="Arial" w:cs="Arial"/>
          <w:b/>
        </w:rPr>
        <w:t>guidance</w:t>
      </w:r>
    </w:p>
    <w:p w14:paraId="10A907EB" w14:textId="0358286C" w:rsidR="005F2F3E" w:rsidRDefault="008B2C84" w:rsidP="00A40BA5">
      <w:pPr>
        <w:pStyle w:val="ListParagraph"/>
        <w:widowControl w:val="0"/>
        <w:numPr>
          <w:ilvl w:val="0"/>
          <w:numId w:val="21"/>
        </w:numPr>
        <w:overflowPunct w:val="0"/>
        <w:autoSpaceDE w:val="0"/>
        <w:autoSpaceDN w:val="0"/>
        <w:adjustRightInd w:val="0"/>
        <w:spacing w:after="240"/>
        <w:contextualSpacing w:val="0"/>
        <w:textAlignment w:val="baseline"/>
        <w:rPr>
          <w:rFonts w:ascii="Arial" w:hAnsi="Arial" w:cs="Arial"/>
        </w:rPr>
      </w:pPr>
      <w:r>
        <w:rPr>
          <w:rFonts w:ascii="Arial" w:hAnsi="Arial" w:cs="Arial"/>
        </w:rPr>
        <w:t xml:space="preserve">This document </w:t>
      </w:r>
      <w:r w:rsidR="001C4925">
        <w:rPr>
          <w:rFonts w:ascii="Arial" w:hAnsi="Arial" w:cs="Arial"/>
        </w:rPr>
        <w:t xml:space="preserve">provides the basic information about </w:t>
      </w:r>
      <w:r w:rsidR="00A73326">
        <w:rPr>
          <w:rFonts w:ascii="Arial" w:hAnsi="Arial" w:cs="Arial"/>
        </w:rPr>
        <w:t xml:space="preserve">how to apply for the opportunity to be a Lead School for </w:t>
      </w:r>
      <w:proofErr w:type="spellStart"/>
      <w:r w:rsidR="006A5329">
        <w:rPr>
          <w:rFonts w:ascii="Arial" w:hAnsi="Arial" w:cs="Arial"/>
        </w:rPr>
        <w:t>SHaW</w:t>
      </w:r>
      <w:proofErr w:type="spellEnd"/>
      <w:r w:rsidR="006A5329">
        <w:rPr>
          <w:rFonts w:ascii="Arial" w:hAnsi="Arial" w:cs="Arial"/>
        </w:rPr>
        <w:t xml:space="preserve"> Maths Hub.</w:t>
      </w:r>
      <w:r w:rsidR="00DD0A95">
        <w:rPr>
          <w:rFonts w:ascii="Arial" w:hAnsi="Arial" w:cs="Arial"/>
        </w:rPr>
        <w:t xml:space="preserve"> Please refer to the Maths Hub Lead School Specification document for more information about</w:t>
      </w:r>
      <w:r w:rsidR="00847706">
        <w:rPr>
          <w:rFonts w:ascii="Arial" w:hAnsi="Arial" w:cs="Arial"/>
        </w:rPr>
        <w:t xml:space="preserve"> the requirements</w:t>
      </w:r>
      <w:r w:rsidR="007B7029">
        <w:rPr>
          <w:rFonts w:ascii="Arial" w:hAnsi="Arial" w:cs="Arial"/>
        </w:rPr>
        <w:t xml:space="preserve"> as a Maths Hub Lead School.</w:t>
      </w:r>
      <w:r w:rsidR="00243F11">
        <w:rPr>
          <w:rFonts w:ascii="Arial" w:hAnsi="Arial" w:cs="Arial"/>
        </w:rPr>
        <w:t xml:space="preserve"> </w:t>
      </w:r>
      <w:r w:rsidR="00A73326">
        <w:rPr>
          <w:rFonts w:ascii="Arial" w:hAnsi="Arial" w:cs="Arial"/>
        </w:rPr>
        <w:t xml:space="preserve"> </w:t>
      </w:r>
    </w:p>
    <w:p w14:paraId="6A267FE9" w14:textId="256C9F85" w:rsidR="00B375B0" w:rsidRDefault="003767B8" w:rsidP="00B375B0">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overflowPunct w:val="0"/>
        <w:autoSpaceDE w:val="0"/>
        <w:autoSpaceDN w:val="0"/>
        <w:adjustRightInd w:val="0"/>
        <w:spacing w:after="160"/>
        <w:textAlignment w:val="baseline"/>
        <w:rPr>
          <w:rFonts w:ascii="Arial" w:hAnsi="Arial" w:cs="Arial"/>
        </w:rPr>
      </w:pPr>
      <w:r>
        <w:rPr>
          <w:rFonts w:ascii="Arial" w:hAnsi="Arial" w:cs="Arial"/>
        </w:rPr>
        <w:t>If you are interested in this opportunity y</w:t>
      </w:r>
      <w:r w:rsidR="00B375B0" w:rsidRPr="004D2344">
        <w:rPr>
          <w:rFonts w:ascii="Arial" w:hAnsi="Arial" w:cs="Arial"/>
        </w:rPr>
        <w:t xml:space="preserve">ou are invited to attend a Zoom facilitated Information Session led by the National Centre for Excellence in the Teaching of Mathematics (NCETM) on </w:t>
      </w:r>
      <w:r w:rsidR="005B76CC">
        <w:rPr>
          <w:rFonts w:ascii="Arial" w:hAnsi="Arial" w:cs="Arial"/>
        </w:rPr>
        <w:t>8 February</w:t>
      </w:r>
      <w:r w:rsidR="00C25821">
        <w:rPr>
          <w:rFonts w:ascii="Arial" w:hAnsi="Arial" w:cs="Arial"/>
        </w:rPr>
        <w:t xml:space="preserve"> </w:t>
      </w:r>
      <w:r w:rsidR="00B375B0" w:rsidRPr="004D2344">
        <w:rPr>
          <w:rFonts w:ascii="Arial" w:hAnsi="Arial" w:cs="Arial"/>
        </w:rPr>
        <w:t xml:space="preserve">at </w:t>
      </w:r>
      <w:r w:rsidR="005B76CC">
        <w:rPr>
          <w:rFonts w:ascii="Arial" w:hAnsi="Arial" w:cs="Arial"/>
        </w:rPr>
        <w:t>11:00 – 12:30</w:t>
      </w:r>
      <w:r w:rsidR="00B375B0" w:rsidRPr="004D2344">
        <w:rPr>
          <w:rFonts w:ascii="Arial" w:hAnsi="Arial" w:cs="Arial"/>
        </w:rPr>
        <w:t xml:space="preserve">. The event will provide the opportunity to hear about the service requirement, the </w:t>
      </w:r>
      <w:r w:rsidR="00515FBC">
        <w:rPr>
          <w:rFonts w:ascii="Arial" w:hAnsi="Arial" w:cs="Arial"/>
        </w:rPr>
        <w:t>application</w:t>
      </w:r>
      <w:r w:rsidR="00B375B0" w:rsidRPr="004D2344">
        <w:rPr>
          <w:rFonts w:ascii="Arial" w:hAnsi="Arial" w:cs="Arial"/>
        </w:rPr>
        <w:t xml:space="preserve"> process and for you to </w:t>
      </w:r>
      <w:r w:rsidR="00AF6C9F">
        <w:rPr>
          <w:rFonts w:ascii="Arial" w:hAnsi="Arial" w:cs="Arial"/>
        </w:rPr>
        <w:t>ask</w:t>
      </w:r>
      <w:r w:rsidR="00B375B0" w:rsidRPr="004D2344">
        <w:rPr>
          <w:rFonts w:ascii="Arial" w:hAnsi="Arial" w:cs="Arial"/>
        </w:rPr>
        <w:t xml:space="preserve"> questions. </w:t>
      </w:r>
    </w:p>
    <w:p w14:paraId="70FBF5B8" w14:textId="77777777" w:rsidR="007606A9" w:rsidRDefault="007606A9" w:rsidP="007606A9">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overflowPunct w:val="0"/>
        <w:autoSpaceDE w:val="0"/>
        <w:autoSpaceDN w:val="0"/>
        <w:adjustRightInd w:val="0"/>
        <w:spacing w:after="160"/>
        <w:textAlignment w:val="baseline"/>
        <w:rPr>
          <w:rFonts w:ascii="Arial" w:hAnsi="Arial" w:cs="Arial"/>
        </w:rPr>
      </w:pPr>
    </w:p>
    <w:p w14:paraId="50C292F8" w14:textId="052D59F4" w:rsidR="00065C04" w:rsidRPr="00233F0F" w:rsidRDefault="00065C04" w:rsidP="00065C04">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overflowPunct w:val="0"/>
        <w:autoSpaceDE w:val="0"/>
        <w:autoSpaceDN w:val="0"/>
        <w:adjustRightInd w:val="0"/>
        <w:spacing w:after="160"/>
        <w:contextualSpacing w:val="0"/>
        <w:textAlignment w:val="baseline"/>
        <w:rPr>
          <w:rFonts w:ascii="Arial" w:hAnsi="Arial" w:cs="Arial"/>
        </w:rPr>
      </w:pPr>
      <w:r w:rsidRPr="004D2344">
        <w:rPr>
          <w:rFonts w:ascii="Arial" w:hAnsi="Arial" w:cs="Arial"/>
        </w:rPr>
        <w:t xml:space="preserve">To register your attendance and receive dial-in details, please email </w:t>
      </w:r>
      <w:hyperlink r:id="rId8">
        <w:r w:rsidRPr="004D2344">
          <w:rPr>
            <w:rFonts w:ascii="Arial" w:hAnsi="Arial" w:cs="Arial"/>
          </w:rPr>
          <w:t>mathshubs@ncetm.org.uk</w:t>
        </w:r>
      </w:hyperlink>
      <w:r w:rsidRPr="004D2344">
        <w:rPr>
          <w:rFonts w:ascii="Arial" w:hAnsi="Arial" w:cs="Arial"/>
        </w:rPr>
        <w:t xml:space="preserve"> by 12pm Noon, </w:t>
      </w:r>
      <w:r w:rsidR="005B76CC">
        <w:rPr>
          <w:rFonts w:ascii="Arial" w:hAnsi="Arial" w:cs="Arial"/>
        </w:rPr>
        <w:t>7 Februar</w:t>
      </w:r>
      <w:r w:rsidR="005B76CC" w:rsidRPr="005B76CC">
        <w:rPr>
          <w:rFonts w:ascii="Arial" w:hAnsi="Arial" w:cs="Arial"/>
        </w:rPr>
        <w:t>y</w:t>
      </w:r>
      <w:r w:rsidRPr="005B76CC">
        <w:rPr>
          <w:rFonts w:ascii="Arial" w:hAnsi="Arial" w:cs="Arial"/>
        </w:rPr>
        <w:t>.</w:t>
      </w:r>
      <w:r w:rsidRPr="004D2344">
        <w:rPr>
          <w:rFonts w:ascii="Arial" w:hAnsi="Arial" w:cs="Arial"/>
        </w:rPr>
        <w:t xml:space="preserve"> Please give details of who will be </w:t>
      </w:r>
      <w:proofErr w:type="gramStart"/>
      <w:r w:rsidRPr="004D2344">
        <w:rPr>
          <w:rFonts w:ascii="Arial" w:hAnsi="Arial" w:cs="Arial"/>
        </w:rPr>
        <w:t>attending, and</w:t>
      </w:r>
      <w:proofErr w:type="gramEnd"/>
      <w:r w:rsidRPr="004D2344">
        <w:rPr>
          <w:rFonts w:ascii="Arial" w:hAnsi="Arial" w:cs="Arial"/>
        </w:rPr>
        <w:t xml:space="preserve"> put “New Lead School briefing” in the subject line. Invites are limited to two individuals from each </w:t>
      </w:r>
      <w:proofErr w:type="spellStart"/>
      <w:r w:rsidRPr="004D2344">
        <w:rPr>
          <w:rFonts w:ascii="Arial" w:hAnsi="Arial" w:cs="Arial"/>
        </w:rPr>
        <w:t>organisation</w:t>
      </w:r>
      <w:proofErr w:type="spellEnd"/>
      <w:r w:rsidRPr="004D2344">
        <w:rPr>
          <w:rFonts w:ascii="Arial" w:hAnsi="Arial" w:cs="Arial"/>
        </w:rPr>
        <w:t xml:space="preserve">. Attendance at the webinar is not mandatory and for Potential Bidders that are not able to attend, the slides and Q&amp;A log will be circulated via the messaging facility on the Jaggaer </w:t>
      </w:r>
      <w:proofErr w:type="spellStart"/>
      <w:r w:rsidRPr="004D2344">
        <w:rPr>
          <w:rFonts w:ascii="Arial" w:hAnsi="Arial" w:cs="Arial"/>
        </w:rPr>
        <w:t>eSourcing</w:t>
      </w:r>
      <w:proofErr w:type="spellEnd"/>
      <w:r w:rsidRPr="004D2344">
        <w:rPr>
          <w:rFonts w:ascii="Arial" w:hAnsi="Arial" w:cs="Arial"/>
        </w:rPr>
        <w:t xml:space="preserve"> Portal following the briefing.</w:t>
      </w:r>
    </w:p>
    <w:p w14:paraId="4D36252E" w14:textId="10A68312" w:rsidR="009C5D86" w:rsidRPr="00AE2677" w:rsidRDefault="009C5D86" w:rsidP="009C5D86">
      <w:pPr>
        <w:pStyle w:val="BodyText"/>
        <w:widowControl w:val="0"/>
        <w:numPr>
          <w:ilvl w:val="0"/>
          <w:numId w:val="21"/>
        </w:numPr>
        <w:overflowPunct w:val="0"/>
        <w:autoSpaceDE w:val="0"/>
        <w:autoSpaceDN w:val="0"/>
        <w:adjustRightInd w:val="0"/>
        <w:spacing w:after="160"/>
        <w:textAlignment w:val="baseline"/>
        <w:rPr>
          <w:rFonts w:ascii="Arial" w:hAnsi="Arial" w:cs="Arial"/>
          <w:b/>
          <w:bCs/>
        </w:rPr>
      </w:pPr>
      <w:r w:rsidRPr="00AE2677">
        <w:rPr>
          <w:rFonts w:ascii="Arial" w:hAnsi="Arial" w:cs="Arial"/>
        </w:rPr>
        <w:t xml:space="preserve">The Department is using the </w:t>
      </w:r>
      <w:hyperlink r:id="rId9">
        <w:r w:rsidRPr="00AE2677">
          <w:rPr>
            <w:rStyle w:val="Hyperlink"/>
            <w:rFonts w:ascii="Arial" w:hAnsi="Arial" w:cs="Arial"/>
            <w:bCs/>
          </w:rPr>
          <w:t xml:space="preserve">Jaggaer </w:t>
        </w:r>
        <w:proofErr w:type="spellStart"/>
        <w:r w:rsidRPr="00AE2677">
          <w:rPr>
            <w:rStyle w:val="Hyperlink"/>
            <w:rFonts w:ascii="Arial" w:hAnsi="Arial" w:cs="Arial"/>
            <w:bCs/>
          </w:rPr>
          <w:t>eSourcing</w:t>
        </w:r>
        <w:proofErr w:type="spellEnd"/>
        <w:r w:rsidRPr="00AE2677">
          <w:rPr>
            <w:rStyle w:val="Hyperlink"/>
            <w:rFonts w:ascii="Arial" w:hAnsi="Arial" w:cs="Arial"/>
            <w:bCs/>
          </w:rPr>
          <w:t xml:space="preserve"> Portal</w:t>
        </w:r>
      </w:hyperlink>
      <w:r w:rsidRPr="00AE2677">
        <w:rPr>
          <w:rFonts w:ascii="Arial" w:hAnsi="Arial" w:cs="Arial"/>
        </w:rPr>
        <w:t xml:space="preserve">  to manage this Procurement and to communicate with you. You will need to register as a supplier on the Jaggaer </w:t>
      </w:r>
      <w:proofErr w:type="spellStart"/>
      <w:r w:rsidRPr="00AE2677">
        <w:rPr>
          <w:rFonts w:ascii="Arial" w:hAnsi="Arial" w:cs="Arial"/>
        </w:rPr>
        <w:t>eSourcing</w:t>
      </w:r>
      <w:proofErr w:type="spellEnd"/>
      <w:r w:rsidRPr="00AE2677">
        <w:rPr>
          <w:rFonts w:ascii="Arial" w:hAnsi="Arial" w:cs="Arial"/>
        </w:rPr>
        <w:t xml:space="preserve"> Portal to be able to </w:t>
      </w:r>
      <w:r w:rsidR="00B67965">
        <w:rPr>
          <w:rFonts w:ascii="Arial" w:hAnsi="Arial" w:cs="Arial"/>
        </w:rPr>
        <w:t>apply</w:t>
      </w:r>
      <w:r w:rsidRPr="00AE2677">
        <w:rPr>
          <w:rFonts w:ascii="Arial" w:hAnsi="Arial" w:cs="Arial"/>
        </w:rPr>
        <w:t xml:space="preserve"> for this opportunity. You must ensure that the details of the point of contact you nominate in the </w:t>
      </w:r>
      <w:proofErr w:type="spellStart"/>
      <w:r w:rsidRPr="00AE2677">
        <w:rPr>
          <w:rFonts w:ascii="Arial" w:hAnsi="Arial" w:cs="Arial"/>
        </w:rPr>
        <w:t>eSourcing</w:t>
      </w:r>
      <w:proofErr w:type="spellEnd"/>
      <w:r w:rsidRPr="00AE2677">
        <w:rPr>
          <w:rFonts w:ascii="Arial" w:hAnsi="Arial" w:cs="Arial"/>
        </w:rPr>
        <w:t xml:space="preserve"> Portal are accurate at all times as the Department will not be under any obligation to contact any other point of contact.</w:t>
      </w:r>
    </w:p>
    <w:p w14:paraId="313D38D8" w14:textId="77777777" w:rsidR="009C5D86" w:rsidRPr="001961D5" w:rsidRDefault="009C5D86" w:rsidP="009C5D86">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overflowPunct w:val="0"/>
        <w:autoSpaceDE w:val="0"/>
        <w:autoSpaceDN w:val="0"/>
        <w:adjustRightInd w:val="0"/>
        <w:spacing w:after="160"/>
        <w:contextualSpacing w:val="0"/>
        <w:textAlignment w:val="baseline"/>
        <w:rPr>
          <w:rFonts w:ascii="Arial" w:hAnsi="Arial" w:cs="Arial"/>
        </w:rPr>
      </w:pPr>
      <w:r w:rsidRPr="00AE2677">
        <w:rPr>
          <w:rFonts w:ascii="Arial" w:hAnsi="Arial" w:cs="Arial"/>
        </w:rPr>
        <w:t xml:space="preserve">Guidance on how to register and access opportunities is available in the Jaggaer </w:t>
      </w:r>
      <w:proofErr w:type="spellStart"/>
      <w:r w:rsidRPr="00AE2677">
        <w:rPr>
          <w:rFonts w:ascii="Arial" w:hAnsi="Arial" w:cs="Arial"/>
        </w:rPr>
        <w:t>eSourcing</w:t>
      </w:r>
      <w:proofErr w:type="spellEnd"/>
      <w:r w:rsidRPr="00AE2677">
        <w:rPr>
          <w:rFonts w:ascii="Arial" w:hAnsi="Arial" w:cs="Arial"/>
        </w:rPr>
        <w:t xml:space="preserve"> Portal by using the ‘Contact Us’ section on the homepage. You can also email the </w:t>
      </w:r>
      <w:proofErr w:type="spellStart"/>
      <w:r w:rsidRPr="00AE2677">
        <w:rPr>
          <w:rFonts w:ascii="Arial" w:hAnsi="Arial" w:cs="Arial"/>
        </w:rPr>
        <w:t>eSourcing</w:t>
      </w:r>
      <w:proofErr w:type="spellEnd"/>
      <w:r w:rsidRPr="00AE2677">
        <w:rPr>
          <w:rFonts w:ascii="Arial" w:hAnsi="Arial" w:cs="Arial"/>
        </w:rPr>
        <w:t xml:space="preserve"> support team at </w:t>
      </w:r>
      <w:hyperlink r:id="rId10">
        <w:r w:rsidRPr="00AE2677">
          <w:rPr>
            <w:rStyle w:val="Hyperlink"/>
            <w:rFonts w:ascii="Arial" w:hAnsi="Arial" w:cs="Arial"/>
          </w:rPr>
          <w:t>help_UK@jaggaer.com</w:t>
        </w:r>
      </w:hyperlink>
      <w:r w:rsidRPr="00AE2677">
        <w:rPr>
          <w:rFonts w:ascii="Arial" w:hAnsi="Arial" w:cs="Arial"/>
        </w:rPr>
        <w:t xml:space="preserve"> and watch a video to support with registration here - </w:t>
      </w:r>
      <w:hyperlink r:id="rId11">
        <w:r w:rsidRPr="00AE2677">
          <w:rPr>
            <w:rStyle w:val="Hyperlink"/>
            <w:rFonts w:ascii="Arial" w:hAnsi="Arial" w:cs="Arial"/>
          </w:rPr>
          <w:t>Supplier Registration Video (screencast.com)</w:t>
        </w:r>
      </w:hyperlink>
      <w:r w:rsidRPr="00AE2677">
        <w:rPr>
          <w:rStyle w:val="Hyperlink"/>
          <w:rFonts w:ascii="Arial" w:hAnsi="Arial" w:cs="Arial"/>
          <w:b/>
          <w:bCs/>
        </w:rPr>
        <w:t>.</w:t>
      </w:r>
    </w:p>
    <w:p w14:paraId="76EF33B2" w14:textId="5EC753D3" w:rsidR="003F4A02" w:rsidRPr="00566D69" w:rsidRDefault="008E2351" w:rsidP="00B47A98">
      <w:pPr>
        <w:pStyle w:val="ListParagraph"/>
        <w:widowControl w:val="0"/>
        <w:numPr>
          <w:ilvl w:val="0"/>
          <w:numId w:val="21"/>
        </w:numPr>
        <w:overflowPunct w:val="0"/>
        <w:autoSpaceDE w:val="0"/>
        <w:autoSpaceDN w:val="0"/>
        <w:adjustRightInd w:val="0"/>
        <w:spacing w:after="240"/>
        <w:contextualSpacing w:val="0"/>
        <w:textAlignment w:val="baseline"/>
        <w:rPr>
          <w:rFonts w:ascii="Arial" w:hAnsi="Arial" w:cs="Arial"/>
        </w:rPr>
      </w:pPr>
      <w:r>
        <w:rPr>
          <w:rFonts w:ascii="Arial" w:hAnsi="Arial" w:cs="Arial"/>
        </w:rPr>
        <w:t>To be a Maths Hub Lead School</w:t>
      </w:r>
      <w:r w:rsidR="003F4A02" w:rsidRPr="00566D69">
        <w:rPr>
          <w:rFonts w:ascii="Arial" w:hAnsi="Arial" w:cs="Arial"/>
        </w:rPr>
        <w:t xml:space="preserve"> </w:t>
      </w:r>
      <w:r w:rsidR="004331A9">
        <w:rPr>
          <w:rFonts w:ascii="Arial" w:hAnsi="Arial" w:cs="Arial"/>
        </w:rPr>
        <w:t>you must meet</w:t>
      </w:r>
      <w:r w:rsidR="003F4A02" w:rsidRPr="00566D69">
        <w:rPr>
          <w:rFonts w:ascii="Arial" w:hAnsi="Arial" w:cs="Arial"/>
        </w:rPr>
        <w:t xml:space="preserve"> the Maths Hub Eligibility Criteria as outlined in Section A. On </w:t>
      </w:r>
      <w:proofErr w:type="gramStart"/>
      <w:r w:rsidR="003F4A02" w:rsidRPr="00566D69">
        <w:rPr>
          <w:rFonts w:ascii="Arial" w:hAnsi="Arial" w:cs="Arial"/>
        </w:rPr>
        <w:t>submitting an application</w:t>
      </w:r>
      <w:proofErr w:type="gramEnd"/>
      <w:r w:rsidR="003F4A02" w:rsidRPr="00566D69">
        <w:rPr>
          <w:rFonts w:ascii="Arial" w:hAnsi="Arial" w:cs="Arial"/>
        </w:rPr>
        <w:t xml:space="preserve">, </w:t>
      </w:r>
      <w:r>
        <w:rPr>
          <w:rFonts w:ascii="Arial" w:hAnsi="Arial" w:cs="Arial"/>
        </w:rPr>
        <w:t>the Department for Education</w:t>
      </w:r>
      <w:r w:rsidRPr="00566D69">
        <w:rPr>
          <w:rFonts w:ascii="Arial" w:hAnsi="Arial" w:cs="Arial"/>
        </w:rPr>
        <w:t xml:space="preserve"> </w:t>
      </w:r>
      <w:r w:rsidR="003F4A02" w:rsidRPr="00566D69">
        <w:rPr>
          <w:rFonts w:ascii="Arial" w:hAnsi="Arial" w:cs="Arial"/>
        </w:rPr>
        <w:t>will check your nominated Lead School Performance Data with that held by the Department. If you do not meet the eligibility criteria your application will not be reviewed.</w:t>
      </w:r>
    </w:p>
    <w:p w14:paraId="519F3391" w14:textId="2051474D" w:rsidR="003F4A02" w:rsidRPr="00566D69" w:rsidRDefault="003F4A02" w:rsidP="00B47A98">
      <w:pPr>
        <w:pStyle w:val="ListParagraph"/>
        <w:widowControl w:val="0"/>
        <w:numPr>
          <w:ilvl w:val="0"/>
          <w:numId w:val="21"/>
        </w:numPr>
        <w:overflowPunct w:val="0"/>
        <w:autoSpaceDE w:val="0"/>
        <w:autoSpaceDN w:val="0"/>
        <w:adjustRightInd w:val="0"/>
        <w:spacing w:after="240"/>
        <w:contextualSpacing w:val="0"/>
        <w:textAlignment w:val="baseline"/>
        <w:rPr>
          <w:rFonts w:ascii="Arial" w:hAnsi="Arial" w:cs="Arial"/>
        </w:rPr>
      </w:pPr>
      <w:r w:rsidRPr="00566D69">
        <w:rPr>
          <w:rFonts w:ascii="Arial" w:hAnsi="Arial" w:cs="Arial"/>
        </w:rPr>
        <w:t>Eligible applicants will then be assessed through a two-part evaluation process</w:t>
      </w:r>
      <w:r w:rsidR="002129E2">
        <w:rPr>
          <w:rFonts w:ascii="Arial" w:hAnsi="Arial" w:cs="Arial"/>
        </w:rPr>
        <w:t>:</w:t>
      </w:r>
    </w:p>
    <w:p w14:paraId="638A1DE9" w14:textId="77777777" w:rsidR="003F4A02" w:rsidRPr="00566D69" w:rsidRDefault="003F4A02" w:rsidP="00B47A98">
      <w:pPr>
        <w:pStyle w:val="ListParagraph"/>
        <w:widowControl w:val="0"/>
        <w:numPr>
          <w:ilvl w:val="1"/>
          <w:numId w:val="21"/>
        </w:numPr>
        <w:overflowPunct w:val="0"/>
        <w:autoSpaceDE w:val="0"/>
        <w:autoSpaceDN w:val="0"/>
        <w:adjustRightInd w:val="0"/>
        <w:contextualSpacing w:val="0"/>
        <w:textAlignment w:val="baseline"/>
        <w:rPr>
          <w:rFonts w:ascii="Arial" w:hAnsi="Arial" w:cs="Arial"/>
        </w:rPr>
      </w:pPr>
      <w:r w:rsidRPr="00566D69">
        <w:rPr>
          <w:rFonts w:ascii="Arial" w:hAnsi="Arial" w:cs="Arial"/>
        </w:rPr>
        <w:lastRenderedPageBreak/>
        <w:t>Part 1 – Application stage</w:t>
      </w:r>
    </w:p>
    <w:p w14:paraId="44AA647D" w14:textId="77777777" w:rsidR="003F4A02" w:rsidRDefault="003F4A02" w:rsidP="00B47A98">
      <w:pPr>
        <w:pStyle w:val="ListParagraph"/>
        <w:widowControl w:val="0"/>
        <w:numPr>
          <w:ilvl w:val="1"/>
          <w:numId w:val="21"/>
        </w:numPr>
        <w:overflowPunct w:val="0"/>
        <w:autoSpaceDE w:val="0"/>
        <w:autoSpaceDN w:val="0"/>
        <w:adjustRightInd w:val="0"/>
        <w:contextualSpacing w:val="0"/>
        <w:textAlignment w:val="baseline"/>
        <w:rPr>
          <w:rFonts w:ascii="Arial" w:hAnsi="Arial" w:cs="Arial"/>
        </w:rPr>
      </w:pPr>
      <w:r w:rsidRPr="00566D69">
        <w:rPr>
          <w:rFonts w:ascii="Arial" w:hAnsi="Arial" w:cs="Arial"/>
        </w:rPr>
        <w:t>Part 2 – Interview</w:t>
      </w:r>
    </w:p>
    <w:p w14:paraId="57DDD804" w14:textId="77777777" w:rsidR="003F4A02" w:rsidRPr="00566D69" w:rsidRDefault="003F4A02" w:rsidP="00B47A98">
      <w:pPr>
        <w:pStyle w:val="ListParagraph"/>
        <w:ind w:left="1440"/>
        <w:contextualSpacing w:val="0"/>
        <w:rPr>
          <w:rFonts w:ascii="Arial" w:hAnsi="Arial" w:cs="Arial"/>
        </w:rPr>
      </w:pPr>
    </w:p>
    <w:p w14:paraId="74B4EBAA" w14:textId="6F6A2CEC" w:rsidR="003F4A02" w:rsidRPr="00566D69" w:rsidRDefault="003F4A02" w:rsidP="00B47A98">
      <w:pPr>
        <w:pStyle w:val="ListParagraph"/>
        <w:widowControl w:val="0"/>
        <w:numPr>
          <w:ilvl w:val="0"/>
          <w:numId w:val="21"/>
        </w:numPr>
        <w:overflowPunct w:val="0"/>
        <w:autoSpaceDE w:val="0"/>
        <w:autoSpaceDN w:val="0"/>
        <w:adjustRightInd w:val="0"/>
        <w:spacing w:after="240"/>
        <w:contextualSpacing w:val="0"/>
        <w:textAlignment w:val="baseline"/>
        <w:rPr>
          <w:rFonts w:ascii="Arial" w:hAnsi="Arial" w:cs="Arial"/>
        </w:rPr>
      </w:pPr>
      <w:r w:rsidRPr="00566D69">
        <w:rPr>
          <w:rFonts w:ascii="Arial" w:hAnsi="Arial" w:cs="Arial"/>
        </w:rPr>
        <w:t>Part 1 is an assessment based on 10 questions outlined in Section B</w:t>
      </w:r>
      <w:r w:rsidR="006752C0">
        <w:rPr>
          <w:rFonts w:ascii="Arial" w:hAnsi="Arial" w:cs="Arial"/>
        </w:rPr>
        <w:t xml:space="preserve"> of this document</w:t>
      </w:r>
      <w:r w:rsidRPr="00566D69">
        <w:rPr>
          <w:rFonts w:ascii="Arial" w:hAnsi="Arial" w:cs="Arial"/>
        </w:rPr>
        <w:t xml:space="preserve">. Bidders are advised to read through all documents regarding this procurement on the Jaggaer </w:t>
      </w:r>
      <w:proofErr w:type="spellStart"/>
      <w:r w:rsidRPr="00566D69">
        <w:rPr>
          <w:rFonts w:ascii="Arial" w:hAnsi="Arial" w:cs="Arial"/>
        </w:rPr>
        <w:t>eSourcing</w:t>
      </w:r>
      <w:proofErr w:type="spellEnd"/>
      <w:r w:rsidRPr="00566D69">
        <w:rPr>
          <w:rFonts w:ascii="Arial" w:hAnsi="Arial" w:cs="Arial"/>
        </w:rPr>
        <w:t xml:space="preserve"> Portal before submitting your response. The questions will assess applicant’s experience on the following themes:</w:t>
      </w:r>
    </w:p>
    <w:p w14:paraId="5BC1CD45" w14:textId="77777777" w:rsidR="003F4A02" w:rsidRPr="00566D69" w:rsidRDefault="003F4A02" w:rsidP="00B47A98">
      <w:pPr>
        <w:pStyle w:val="ListParagraph"/>
        <w:widowControl w:val="0"/>
        <w:numPr>
          <w:ilvl w:val="1"/>
          <w:numId w:val="20"/>
        </w:numPr>
        <w:overflowPunct w:val="0"/>
        <w:autoSpaceDE w:val="0"/>
        <w:autoSpaceDN w:val="0"/>
        <w:adjustRightInd w:val="0"/>
        <w:spacing w:after="120"/>
        <w:ind w:left="1434" w:hanging="357"/>
        <w:contextualSpacing w:val="0"/>
        <w:textAlignment w:val="baseline"/>
        <w:rPr>
          <w:rFonts w:ascii="Arial" w:hAnsi="Arial" w:cs="Arial"/>
        </w:rPr>
      </w:pPr>
      <w:r w:rsidRPr="00566D69">
        <w:rPr>
          <w:rFonts w:ascii="Arial" w:hAnsi="Arial" w:cs="Arial"/>
        </w:rPr>
        <w:t>Mathematics credibility and capacity</w:t>
      </w:r>
    </w:p>
    <w:p w14:paraId="34ECBB4A" w14:textId="77777777" w:rsidR="003F4A02" w:rsidRPr="00566D69" w:rsidRDefault="003F4A02" w:rsidP="00B47A98">
      <w:pPr>
        <w:pStyle w:val="ListParagraph"/>
        <w:widowControl w:val="0"/>
        <w:numPr>
          <w:ilvl w:val="1"/>
          <w:numId w:val="20"/>
        </w:numPr>
        <w:overflowPunct w:val="0"/>
        <w:autoSpaceDE w:val="0"/>
        <w:autoSpaceDN w:val="0"/>
        <w:adjustRightInd w:val="0"/>
        <w:spacing w:after="120"/>
        <w:ind w:left="1434" w:hanging="357"/>
        <w:contextualSpacing w:val="0"/>
        <w:textAlignment w:val="baseline"/>
        <w:rPr>
          <w:rFonts w:ascii="Arial" w:hAnsi="Arial" w:cs="Arial"/>
        </w:rPr>
      </w:pPr>
      <w:r w:rsidRPr="00566D69">
        <w:rPr>
          <w:rFonts w:ascii="Arial" w:hAnsi="Arial" w:cs="Arial"/>
        </w:rPr>
        <w:t>Leadership credibility, capacity, and commitment</w:t>
      </w:r>
    </w:p>
    <w:p w14:paraId="586C08E1" w14:textId="4819B282" w:rsidR="00AD6881" w:rsidRPr="001961D5" w:rsidRDefault="003F4A02" w:rsidP="00B47A98">
      <w:pPr>
        <w:pStyle w:val="ListParagraph"/>
        <w:widowControl w:val="0"/>
        <w:numPr>
          <w:ilvl w:val="1"/>
          <w:numId w:val="20"/>
        </w:numPr>
        <w:overflowPunct w:val="0"/>
        <w:autoSpaceDE w:val="0"/>
        <w:autoSpaceDN w:val="0"/>
        <w:adjustRightInd w:val="0"/>
        <w:spacing w:after="240"/>
        <w:ind w:left="1434" w:hanging="357"/>
        <w:contextualSpacing w:val="0"/>
        <w:textAlignment w:val="baseline"/>
        <w:rPr>
          <w:rFonts w:ascii="Arial" w:hAnsi="Arial" w:cs="Arial"/>
        </w:rPr>
      </w:pPr>
      <w:r w:rsidRPr="00566D69">
        <w:rPr>
          <w:rFonts w:ascii="Arial" w:hAnsi="Arial" w:cs="Arial"/>
        </w:rPr>
        <w:t>Building leadership capacity</w:t>
      </w:r>
    </w:p>
    <w:p w14:paraId="42F8CD0B" w14:textId="2258CB7C" w:rsidR="00483A0B" w:rsidRPr="00483A0B" w:rsidRDefault="00483A0B" w:rsidP="00B47A98">
      <w:pPr>
        <w:pStyle w:val="ListParagraph"/>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 w:val="left" w:pos="29520"/>
          <w:tab w:val="left" w:pos="30240"/>
          <w:tab w:val="left" w:pos="30960"/>
        </w:tabs>
        <w:overflowPunct w:val="0"/>
        <w:autoSpaceDE w:val="0"/>
        <w:autoSpaceDN w:val="0"/>
        <w:adjustRightInd w:val="0"/>
        <w:spacing w:after="160"/>
        <w:textAlignment w:val="baseline"/>
        <w:rPr>
          <w:rFonts w:ascii="Arial" w:hAnsi="Arial" w:cs="Arial"/>
        </w:rPr>
      </w:pPr>
      <w:r w:rsidRPr="00483A0B">
        <w:rPr>
          <w:rFonts w:ascii="Arial" w:hAnsi="Arial" w:cs="Arial"/>
        </w:rPr>
        <w:t xml:space="preserve">You can ask questions or seek clarification regarding this Procurement or the application process using the messaging facility in Jaggaer. You must register for a Jaggaer account </w:t>
      </w:r>
      <w:proofErr w:type="gramStart"/>
      <w:r w:rsidRPr="00483A0B">
        <w:rPr>
          <w:rFonts w:ascii="Arial" w:hAnsi="Arial" w:cs="Arial"/>
        </w:rPr>
        <w:t>in order to</w:t>
      </w:r>
      <w:proofErr w:type="gramEnd"/>
      <w:r w:rsidRPr="00483A0B">
        <w:rPr>
          <w:rFonts w:ascii="Arial" w:hAnsi="Arial" w:cs="Arial"/>
        </w:rPr>
        <w:t xml:space="preserve"> use this facility. Please ensure you have read all the documentation carefully. The deadline for Potential Bidders to submit clarification questions is Midday GMT on </w:t>
      </w:r>
      <w:r w:rsidR="00B33F06">
        <w:rPr>
          <w:rFonts w:ascii="Arial" w:hAnsi="Arial" w:cs="Arial"/>
        </w:rPr>
        <w:t>24 February</w:t>
      </w:r>
      <w:r w:rsidRPr="00483A0B">
        <w:rPr>
          <w:rFonts w:ascii="Arial" w:hAnsi="Arial" w:cs="Arial"/>
        </w:rPr>
        <w:t xml:space="preserve"> and the deadline for response from the Department is 17:00 GMT on </w:t>
      </w:r>
      <w:r w:rsidR="00CD6F46">
        <w:rPr>
          <w:rFonts w:ascii="Arial" w:hAnsi="Arial" w:cs="Arial"/>
        </w:rPr>
        <w:t>28 February</w:t>
      </w:r>
      <w:r w:rsidRPr="00483A0B">
        <w:rPr>
          <w:rFonts w:ascii="Arial" w:hAnsi="Arial" w:cs="Arial"/>
        </w:rPr>
        <w:t xml:space="preserve">. The Department will aim to respond, via the Jaggaer </w:t>
      </w:r>
      <w:proofErr w:type="spellStart"/>
      <w:r w:rsidRPr="00483A0B">
        <w:rPr>
          <w:rFonts w:ascii="Arial" w:hAnsi="Arial" w:cs="Arial"/>
        </w:rPr>
        <w:t>eSourcing</w:t>
      </w:r>
      <w:proofErr w:type="spellEnd"/>
      <w:r w:rsidRPr="00483A0B">
        <w:rPr>
          <w:rFonts w:ascii="Arial" w:hAnsi="Arial" w:cs="Arial"/>
        </w:rPr>
        <w:t xml:space="preserve"> Portal, to all clarification questions within 2 working days. </w:t>
      </w:r>
    </w:p>
    <w:p w14:paraId="4A71DA5B" w14:textId="77777777" w:rsidR="00483A0B" w:rsidRDefault="00483A0B" w:rsidP="00B47A98">
      <w:pPr>
        <w:pStyle w:val="ListParagraph"/>
      </w:pPr>
    </w:p>
    <w:p w14:paraId="549E93F0" w14:textId="43EC993C" w:rsidR="003F4A02" w:rsidRPr="00A3168C" w:rsidRDefault="003F4A02" w:rsidP="00B47A98">
      <w:pPr>
        <w:pStyle w:val="ListParagraph"/>
        <w:widowControl w:val="0"/>
        <w:numPr>
          <w:ilvl w:val="0"/>
          <w:numId w:val="21"/>
        </w:numPr>
        <w:overflowPunct w:val="0"/>
        <w:autoSpaceDE w:val="0"/>
        <w:autoSpaceDN w:val="0"/>
        <w:adjustRightInd w:val="0"/>
        <w:spacing w:after="240"/>
        <w:contextualSpacing w:val="0"/>
        <w:textAlignment w:val="baseline"/>
        <w:rPr>
          <w:rFonts w:ascii="Arial" w:hAnsi="Arial" w:cs="Arial"/>
        </w:rPr>
      </w:pPr>
      <w:r w:rsidRPr="00A3168C">
        <w:rPr>
          <w:rFonts w:ascii="Arial" w:hAnsi="Arial" w:cs="Arial"/>
        </w:rPr>
        <w:t xml:space="preserve">All applications must be submitted to the DfE Jaggaer </w:t>
      </w:r>
      <w:proofErr w:type="spellStart"/>
      <w:r w:rsidRPr="00A3168C">
        <w:rPr>
          <w:rFonts w:ascii="Arial" w:hAnsi="Arial" w:cs="Arial"/>
        </w:rPr>
        <w:t>eSourcing</w:t>
      </w:r>
      <w:proofErr w:type="spellEnd"/>
      <w:r w:rsidRPr="00A3168C">
        <w:rPr>
          <w:rFonts w:ascii="Arial" w:hAnsi="Arial" w:cs="Arial"/>
        </w:rPr>
        <w:t xml:space="preserve"> Portal by 12pm, noon, Greenwich Mean Time (GMT) on </w:t>
      </w:r>
      <w:r w:rsidR="00FA1B2B" w:rsidRPr="00A3168C">
        <w:rPr>
          <w:rFonts w:ascii="Arial" w:hAnsi="Arial" w:cs="Arial"/>
        </w:rPr>
        <w:t>3 March.</w:t>
      </w:r>
    </w:p>
    <w:p w14:paraId="33B9D57D" w14:textId="447E2CA6" w:rsidR="003F4A02" w:rsidRPr="00106E27" w:rsidRDefault="003F4A02" w:rsidP="00B47A98">
      <w:pPr>
        <w:pStyle w:val="Default"/>
        <w:numPr>
          <w:ilvl w:val="0"/>
          <w:numId w:val="21"/>
        </w:numPr>
        <w:spacing w:after="240"/>
        <w:ind w:left="714" w:hanging="357"/>
        <w:rPr>
          <w:color w:val="auto"/>
          <w:lang w:val="en-US"/>
        </w:rPr>
      </w:pPr>
      <w:r w:rsidRPr="00A3168C">
        <w:rPr>
          <w:color w:val="auto"/>
          <w:lang w:val="en-US"/>
        </w:rPr>
        <w:t xml:space="preserve">The top two scoring applicants </w:t>
      </w:r>
      <w:r w:rsidR="00515FBC" w:rsidRPr="00A3168C">
        <w:rPr>
          <w:color w:val="auto"/>
          <w:lang w:val="en-US"/>
        </w:rPr>
        <w:t>for each hub</w:t>
      </w:r>
      <w:r w:rsidRPr="00A3168C">
        <w:rPr>
          <w:color w:val="auto"/>
          <w:lang w:val="en-US"/>
        </w:rPr>
        <w:t xml:space="preserve"> at application will be invited to an online interview with the evaluation panel which will take place on </w:t>
      </w:r>
      <w:r w:rsidR="00FA1B2B" w:rsidRPr="00A3168C">
        <w:rPr>
          <w:color w:val="auto"/>
          <w:lang w:val="en-US"/>
        </w:rPr>
        <w:t>16 March and 17 March 2023</w:t>
      </w:r>
      <w:r w:rsidR="00CB614A" w:rsidRPr="00A3168C">
        <w:rPr>
          <w:color w:val="auto"/>
          <w:lang w:val="en-US"/>
        </w:rPr>
        <w:t>.</w:t>
      </w:r>
      <w:r w:rsidRPr="00A3168C">
        <w:rPr>
          <w:color w:val="auto"/>
          <w:lang w:val="en-US"/>
        </w:rPr>
        <w:t xml:space="preserve"> This will form Part 2 of the recruitment process. You will need to make sure you and your team are available on at least one of</w:t>
      </w:r>
      <w:r w:rsidRPr="00106E27">
        <w:rPr>
          <w:color w:val="auto"/>
          <w:lang w:val="en-US"/>
        </w:rPr>
        <w:t xml:space="preserve"> these dates. </w:t>
      </w:r>
    </w:p>
    <w:p w14:paraId="5BF7138A" w14:textId="190F6BA9" w:rsidR="003F4A02" w:rsidRPr="00106E27" w:rsidRDefault="003F4A02" w:rsidP="00B47A98">
      <w:pPr>
        <w:pStyle w:val="Default"/>
        <w:numPr>
          <w:ilvl w:val="0"/>
          <w:numId w:val="21"/>
        </w:numPr>
        <w:spacing w:after="240"/>
        <w:ind w:left="714" w:hanging="357"/>
        <w:rPr>
          <w:color w:val="auto"/>
          <w:lang w:val="en-US"/>
        </w:rPr>
      </w:pPr>
      <w:r w:rsidRPr="00106E27">
        <w:rPr>
          <w:color w:val="auto"/>
          <w:lang w:val="en-US"/>
        </w:rPr>
        <w:t>Further guidance on the interview process can be found in Document 8 Guidance for interview</w:t>
      </w:r>
      <w:r w:rsidR="00291750">
        <w:rPr>
          <w:color w:val="auto"/>
          <w:lang w:val="en-US"/>
        </w:rPr>
        <w:t xml:space="preserve"> on Jaggaer</w:t>
      </w:r>
      <w:r w:rsidRPr="00106E27">
        <w:rPr>
          <w:color w:val="auto"/>
          <w:lang w:val="en-US"/>
        </w:rPr>
        <w:t xml:space="preserve">. </w:t>
      </w:r>
    </w:p>
    <w:p w14:paraId="30B570EC" w14:textId="77777777" w:rsidR="003F4A02" w:rsidRPr="00566D69" w:rsidRDefault="003F4A02" w:rsidP="00B47A98">
      <w:pPr>
        <w:pStyle w:val="ListParagraph"/>
        <w:widowControl w:val="0"/>
        <w:numPr>
          <w:ilvl w:val="0"/>
          <w:numId w:val="21"/>
        </w:numPr>
        <w:overflowPunct w:val="0"/>
        <w:autoSpaceDE w:val="0"/>
        <w:autoSpaceDN w:val="0"/>
        <w:adjustRightInd w:val="0"/>
        <w:spacing w:after="240"/>
        <w:textAlignment w:val="baseline"/>
        <w:rPr>
          <w:rFonts w:ascii="Arial" w:hAnsi="Arial" w:cs="Arial"/>
        </w:rPr>
      </w:pPr>
      <w:r w:rsidRPr="00566D69">
        <w:rPr>
          <w:rFonts w:ascii="Arial" w:hAnsi="Arial" w:cs="Arial"/>
        </w:rPr>
        <w:t xml:space="preserve">The position of Maths Hub Lead School/College/Trust will be awarded to the applicant with the highest score from the interview process.  </w:t>
      </w:r>
    </w:p>
    <w:p w14:paraId="13FABA1A" w14:textId="1DB36625" w:rsidR="008760EB" w:rsidRDefault="008760EB" w:rsidP="003F4A02">
      <w:pPr>
        <w:rPr>
          <w:rFonts w:ascii="Arial" w:hAnsi="Arial" w:cs="Arial"/>
          <w:b/>
          <w:lang w:eastAsia="en-US"/>
        </w:rPr>
      </w:pPr>
    </w:p>
    <w:p w14:paraId="06624D85" w14:textId="0444A403" w:rsidR="00E9295A" w:rsidRDefault="00E9295A" w:rsidP="003F4A02">
      <w:pPr>
        <w:rPr>
          <w:rFonts w:ascii="Arial" w:hAnsi="Arial" w:cs="Arial"/>
          <w:b/>
          <w:lang w:eastAsia="en-US"/>
        </w:rPr>
      </w:pPr>
    </w:p>
    <w:p w14:paraId="5854BF82" w14:textId="4643D5D0" w:rsidR="00E9295A" w:rsidRDefault="00E9295A" w:rsidP="003F4A02">
      <w:pPr>
        <w:rPr>
          <w:rFonts w:ascii="Arial" w:hAnsi="Arial" w:cs="Arial"/>
          <w:b/>
          <w:lang w:eastAsia="en-US"/>
        </w:rPr>
      </w:pPr>
    </w:p>
    <w:p w14:paraId="336E6282" w14:textId="2CC5D5D1" w:rsidR="00E9295A" w:rsidRDefault="00E9295A" w:rsidP="003F4A02">
      <w:pPr>
        <w:rPr>
          <w:rFonts w:ascii="Arial" w:hAnsi="Arial" w:cs="Arial"/>
          <w:b/>
          <w:lang w:eastAsia="en-US"/>
        </w:rPr>
      </w:pPr>
    </w:p>
    <w:p w14:paraId="3CA87C6E" w14:textId="26BA6912" w:rsidR="00E9295A" w:rsidRDefault="00E9295A" w:rsidP="003F4A02">
      <w:pPr>
        <w:rPr>
          <w:rFonts w:ascii="Arial" w:hAnsi="Arial" w:cs="Arial"/>
          <w:b/>
          <w:lang w:eastAsia="en-US"/>
        </w:rPr>
      </w:pPr>
    </w:p>
    <w:p w14:paraId="585D9A99" w14:textId="1A00CF3A" w:rsidR="00E9295A" w:rsidRDefault="00E9295A" w:rsidP="003F4A02">
      <w:pPr>
        <w:rPr>
          <w:rFonts w:ascii="Arial" w:hAnsi="Arial" w:cs="Arial"/>
          <w:b/>
          <w:lang w:eastAsia="en-US"/>
        </w:rPr>
      </w:pPr>
    </w:p>
    <w:p w14:paraId="2C1AB046" w14:textId="16E93CDB" w:rsidR="00E9295A" w:rsidRDefault="00E9295A" w:rsidP="003F4A02">
      <w:pPr>
        <w:rPr>
          <w:rFonts w:ascii="Arial" w:hAnsi="Arial" w:cs="Arial"/>
          <w:b/>
          <w:lang w:eastAsia="en-US"/>
        </w:rPr>
      </w:pPr>
    </w:p>
    <w:p w14:paraId="0CD065B8" w14:textId="31DAF440" w:rsidR="00E9295A" w:rsidRDefault="00E9295A" w:rsidP="003F4A02">
      <w:pPr>
        <w:rPr>
          <w:rFonts w:ascii="Arial" w:hAnsi="Arial" w:cs="Arial"/>
          <w:b/>
          <w:lang w:eastAsia="en-US"/>
        </w:rPr>
      </w:pPr>
    </w:p>
    <w:p w14:paraId="37D8FBC4" w14:textId="1A3F50BE" w:rsidR="00E9295A" w:rsidRDefault="00E9295A" w:rsidP="003F4A02">
      <w:pPr>
        <w:rPr>
          <w:rFonts w:ascii="Arial" w:hAnsi="Arial" w:cs="Arial"/>
          <w:b/>
          <w:lang w:eastAsia="en-US"/>
        </w:rPr>
      </w:pPr>
    </w:p>
    <w:p w14:paraId="0A0947E4" w14:textId="2117B884" w:rsidR="00E9295A" w:rsidRDefault="00E9295A" w:rsidP="003F4A02">
      <w:pPr>
        <w:rPr>
          <w:rFonts w:ascii="Arial" w:hAnsi="Arial" w:cs="Arial"/>
          <w:b/>
          <w:lang w:eastAsia="en-US"/>
        </w:rPr>
      </w:pPr>
    </w:p>
    <w:p w14:paraId="260E6CC2" w14:textId="126F08EC" w:rsidR="00E9295A" w:rsidRDefault="00E9295A" w:rsidP="003F4A02">
      <w:pPr>
        <w:rPr>
          <w:rFonts w:ascii="Arial" w:hAnsi="Arial" w:cs="Arial"/>
          <w:b/>
          <w:lang w:eastAsia="en-US"/>
        </w:rPr>
      </w:pPr>
    </w:p>
    <w:p w14:paraId="48B61349" w14:textId="77777777" w:rsidR="00E9295A" w:rsidRPr="00566D69" w:rsidRDefault="00E9295A" w:rsidP="003F4A02">
      <w:pPr>
        <w:rPr>
          <w:rFonts w:ascii="Arial" w:hAnsi="Arial" w:cs="Arial"/>
          <w:b/>
          <w:lang w:eastAsia="en-US"/>
        </w:rPr>
      </w:pPr>
    </w:p>
    <w:p w14:paraId="3DC8EABD" w14:textId="6BB8CD82" w:rsidR="00863696" w:rsidRDefault="00863696">
      <w:pPr>
        <w:rPr>
          <w:rFonts w:ascii="Arial" w:hAnsi="Arial" w:cs="Arial"/>
          <w:b/>
          <w:sz w:val="22"/>
          <w:szCs w:val="22"/>
          <w:lang w:val="en-GB" w:eastAsia="en-US"/>
        </w:rPr>
      </w:pPr>
    </w:p>
    <w:p w14:paraId="4865A9DD" w14:textId="4571E772" w:rsidR="003F4A02" w:rsidRPr="00566D69" w:rsidRDefault="003F4A02" w:rsidP="003F4A02">
      <w:pPr>
        <w:pStyle w:val="Alanbody"/>
        <w:tabs>
          <w:tab w:val="clear" w:pos="927"/>
        </w:tabs>
        <w:spacing w:after="240"/>
        <w:ind w:left="0" w:firstLine="0"/>
        <w:rPr>
          <w:rFonts w:cs="Arial"/>
          <w:b/>
          <w:sz w:val="22"/>
          <w:szCs w:val="22"/>
        </w:rPr>
      </w:pPr>
      <w:r w:rsidRPr="00566D69">
        <w:rPr>
          <w:rFonts w:cs="Arial"/>
          <w:b/>
          <w:sz w:val="22"/>
          <w:szCs w:val="22"/>
        </w:rPr>
        <w:lastRenderedPageBreak/>
        <w:t>Section A:</w:t>
      </w:r>
      <w:r w:rsidRPr="00566D69">
        <w:rPr>
          <w:rFonts w:cs="Arial"/>
          <w:sz w:val="22"/>
          <w:szCs w:val="22"/>
        </w:rPr>
        <w:t xml:space="preserve"> </w:t>
      </w:r>
      <w:r w:rsidRPr="00566D69">
        <w:rPr>
          <w:rFonts w:cs="Arial"/>
          <w:b/>
          <w:sz w:val="22"/>
          <w:szCs w:val="22"/>
        </w:rPr>
        <w:t>Maths Hub Lead School Eligibility Criteria</w:t>
      </w:r>
    </w:p>
    <w:p w14:paraId="7F325328" w14:textId="7C865A75" w:rsidR="003F4A02" w:rsidRPr="00566D69" w:rsidRDefault="003F4A02" w:rsidP="003F4A02">
      <w:pPr>
        <w:pStyle w:val="Alanbody"/>
        <w:tabs>
          <w:tab w:val="clear" w:pos="927"/>
        </w:tabs>
        <w:spacing w:after="240"/>
        <w:ind w:left="0" w:firstLine="0"/>
        <w:rPr>
          <w:rFonts w:cs="Arial"/>
          <w:bCs/>
          <w:sz w:val="28"/>
          <w:szCs w:val="28"/>
        </w:rPr>
      </w:pPr>
      <w:r w:rsidRPr="00566D69">
        <w:rPr>
          <w:rFonts w:cs="Arial"/>
          <w:sz w:val="22"/>
          <w:szCs w:val="22"/>
        </w:rPr>
        <w:t>A trust can be named as the lead grant receiving entity accountable for the Maths Hub, however, there must still be a named school within the trust that is within the hub’s geographical area that meets the eligibility criteria as set out below.</w:t>
      </w:r>
      <w:r w:rsidR="002B2E8D">
        <w:rPr>
          <w:rFonts w:cs="Arial"/>
          <w:sz w:val="22"/>
          <w:szCs w:val="22"/>
        </w:rPr>
        <w:t xml:space="preserve"> </w:t>
      </w:r>
      <w:r w:rsidR="002B2E8D" w:rsidRPr="002B2E8D">
        <w:rPr>
          <w:rFonts w:cs="Arial"/>
          <w:sz w:val="22"/>
          <w:szCs w:val="22"/>
        </w:rPr>
        <w:t>For the eligibility checks we will use data from 2022, 2019 and 2018, apart from EBacc where we will use data from 2022 and 2021</w:t>
      </w:r>
      <w:r w:rsidR="002B2E8D" w:rsidRPr="007574AF">
        <w:rPr>
          <w:rFonts w:cs="Arial"/>
          <w:sz w:val="22"/>
          <w:szCs w:val="22"/>
        </w:rPr>
        <w:t>.</w:t>
      </w:r>
      <w:r w:rsidR="003B37CE" w:rsidRPr="007574AF">
        <w:rPr>
          <w:rFonts w:cs="Arial"/>
          <w:sz w:val="22"/>
          <w:szCs w:val="22"/>
        </w:rPr>
        <w:t xml:space="preserve"> </w:t>
      </w:r>
      <w:r w:rsidR="007574AF" w:rsidRPr="007574AF">
        <w:rPr>
          <w:rFonts w:cs="Arial"/>
          <w:sz w:val="22"/>
          <w:szCs w:val="22"/>
        </w:rPr>
        <w:t>W</w:t>
      </w:r>
      <w:r w:rsidR="007574AF" w:rsidRPr="007574AF">
        <w:rPr>
          <w:rStyle w:val="normaltextrun"/>
          <w:rFonts w:cs="Arial"/>
          <w:sz w:val="22"/>
          <w:szCs w:val="22"/>
          <w:shd w:val="clear" w:color="auto" w:fill="FFFFFF"/>
        </w:rPr>
        <w:t>e will also consider 2023 EBacc entry data where secondary schools can evidence this benchmark will be met.</w:t>
      </w:r>
    </w:p>
    <w:p w14:paraId="48AD177F" w14:textId="77777777" w:rsidR="003F4A02" w:rsidRPr="00566D69" w:rsidRDefault="003F4A02" w:rsidP="003F4A02">
      <w:pPr>
        <w:pStyle w:val="ListParagraph"/>
        <w:widowControl w:val="0"/>
        <w:numPr>
          <w:ilvl w:val="3"/>
          <w:numId w:val="20"/>
        </w:numPr>
        <w:overflowPunct w:val="0"/>
        <w:autoSpaceDE w:val="0"/>
        <w:autoSpaceDN w:val="0"/>
        <w:adjustRightInd w:val="0"/>
        <w:spacing w:before="230"/>
        <w:textAlignment w:val="baseline"/>
        <w:rPr>
          <w:rFonts w:ascii="Arial" w:hAnsi="Arial" w:cs="Arial"/>
          <w:b/>
          <w:szCs w:val="18"/>
        </w:rPr>
      </w:pPr>
      <w:r w:rsidRPr="00566D69">
        <w:rPr>
          <w:rFonts w:ascii="Arial" w:hAnsi="Arial" w:cs="Arial"/>
          <w:b/>
          <w:szCs w:val="18"/>
        </w:rPr>
        <w:t>Lead school: primary school</w:t>
      </w:r>
    </w:p>
    <w:p w14:paraId="336B479E" w14:textId="77777777" w:rsidR="003F4A02" w:rsidRPr="00566D69" w:rsidRDefault="003F4A02" w:rsidP="003F4A02">
      <w:pPr>
        <w:rPr>
          <w:rFonts w:ascii="Arial" w:hAnsi="Arial" w:cs="Arial"/>
          <w:szCs w:val="18"/>
        </w:rPr>
      </w:pPr>
    </w:p>
    <w:p w14:paraId="35A74221" w14:textId="77777777" w:rsidR="003F4A02" w:rsidRPr="00566D69" w:rsidRDefault="003F4A02" w:rsidP="003F4A02">
      <w:pPr>
        <w:widowControl w:val="0"/>
        <w:numPr>
          <w:ilvl w:val="0"/>
          <w:numId w:val="23"/>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be state funded.</w:t>
      </w:r>
    </w:p>
    <w:p w14:paraId="6CA0BBA2" w14:textId="77777777" w:rsidR="003F4A02" w:rsidRPr="00566D69" w:rsidRDefault="003F4A02" w:rsidP="003F4A02">
      <w:pPr>
        <w:widowControl w:val="0"/>
        <w:numPr>
          <w:ilvl w:val="0"/>
          <w:numId w:val="23"/>
        </w:numPr>
        <w:overflowPunct w:val="0"/>
        <w:autoSpaceDE w:val="0"/>
        <w:autoSpaceDN w:val="0"/>
        <w:adjustRightInd w:val="0"/>
        <w:ind w:left="643"/>
        <w:contextualSpacing/>
        <w:jc w:val="both"/>
        <w:textAlignment w:val="baseline"/>
        <w:rPr>
          <w:rFonts w:ascii="Arial" w:hAnsi="Arial" w:cs="Arial"/>
          <w:szCs w:val="18"/>
        </w:rPr>
      </w:pPr>
      <w:r w:rsidRPr="00566D69">
        <w:rPr>
          <w:rFonts w:ascii="Arial" w:hAnsi="Arial" w:cs="Arial"/>
          <w:szCs w:val="18"/>
        </w:rPr>
        <w:t xml:space="preserve">Must be rated Outstanding or Good at the latest </w:t>
      </w:r>
      <w:proofErr w:type="spellStart"/>
      <w:r w:rsidRPr="00566D69">
        <w:rPr>
          <w:rFonts w:ascii="Arial" w:hAnsi="Arial" w:cs="Arial"/>
          <w:szCs w:val="18"/>
        </w:rPr>
        <w:t>Ofsted</w:t>
      </w:r>
      <w:proofErr w:type="spellEnd"/>
      <w:r w:rsidRPr="00566D69">
        <w:rPr>
          <w:rFonts w:ascii="Arial" w:hAnsi="Arial" w:cs="Arial"/>
          <w:szCs w:val="18"/>
        </w:rPr>
        <w:t xml:space="preserve"> inspection.</w:t>
      </w:r>
    </w:p>
    <w:p w14:paraId="6D4B3946" w14:textId="77777777" w:rsidR="003F4A02" w:rsidRPr="00566D69" w:rsidRDefault="003F4A02" w:rsidP="003F4A02">
      <w:pPr>
        <w:widowControl w:val="0"/>
        <w:numPr>
          <w:ilvl w:val="0"/>
          <w:numId w:val="23"/>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have a phonics score of above national average by the end of Year 2 for at least one of the last two years.</w:t>
      </w:r>
    </w:p>
    <w:p w14:paraId="79E12358" w14:textId="77777777" w:rsidR="003F4A02" w:rsidRPr="00566D69" w:rsidRDefault="003F4A02" w:rsidP="003F4A02">
      <w:pPr>
        <w:widowControl w:val="0"/>
        <w:numPr>
          <w:ilvl w:val="0"/>
          <w:numId w:val="23"/>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be above the national average (for Key Stage 2) in two of the past three years in:</w:t>
      </w:r>
    </w:p>
    <w:p w14:paraId="4D15DCFB" w14:textId="77777777" w:rsidR="003F4A02" w:rsidRPr="00566D69" w:rsidRDefault="003F4A02" w:rsidP="003F4A02">
      <w:pPr>
        <w:widowControl w:val="0"/>
        <w:numPr>
          <w:ilvl w:val="0"/>
          <w:numId w:val="11"/>
        </w:numPr>
        <w:tabs>
          <w:tab w:val="clear" w:pos="720"/>
        </w:tabs>
        <w:overflowPunct w:val="0"/>
        <w:autoSpaceDE w:val="0"/>
        <w:autoSpaceDN w:val="0"/>
        <w:adjustRightInd w:val="0"/>
        <w:ind w:left="1040"/>
        <w:jc w:val="both"/>
        <w:textAlignment w:val="baseline"/>
        <w:rPr>
          <w:rFonts w:ascii="Arial" w:hAnsi="Arial" w:cs="Arial"/>
          <w:szCs w:val="18"/>
        </w:rPr>
      </w:pPr>
      <w:r w:rsidRPr="00566D69">
        <w:rPr>
          <w:rFonts w:ascii="Arial" w:hAnsi="Arial" w:cs="Arial"/>
          <w:szCs w:val="18"/>
        </w:rPr>
        <w:t>Reaching expected standards in mathematics, and</w:t>
      </w:r>
    </w:p>
    <w:p w14:paraId="5ACB6651" w14:textId="77777777" w:rsidR="003F4A02" w:rsidRPr="00566D69" w:rsidRDefault="003F4A02" w:rsidP="003F4A02">
      <w:pPr>
        <w:widowControl w:val="0"/>
        <w:numPr>
          <w:ilvl w:val="0"/>
          <w:numId w:val="11"/>
        </w:numPr>
        <w:tabs>
          <w:tab w:val="clear" w:pos="720"/>
        </w:tabs>
        <w:overflowPunct w:val="0"/>
        <w:autoSpaceDE w:val="0"/>
        <w:autoSpaceDN w:val="0"/>
        <w:adjustRightInd w:val="0"/>
        <w:ind w:left="1040"/>
        <w:jc w:val="both"/>
        <w:textAlignment w:val="baseline"/>
        <w:rPr>
          <w:rFonts w:ascii="Arial" w:hAnsi="Arial" w:cs="Arial"/>
          <w:szCs w:val="18"/>
        </w:rPr>
      </w:pPr>
      <w:r w:rsidRPr="00566D69">
        <w:rPr>
          <w:rFonts w:ascii="Arial" w:hAnsi="Arial" w:cs="Arial"/>
          <w:szCs w:val="18"/>
        </w:rPr>
        <w:t>Mathematics progress, and / or </w:t>
      </w:r>
    </w:p>
    <w:p w14:paraId="48212929" w14:textId="77777777" w:rsidR="003F4A02" w:rsidRPr="00566D69" w:rsidRDefault="003F4A02" w:rsidP="003F4A02">
      <w:pPr>
        <w:widowControl w:val="0"/>
        <w:numPr>
          <w:ilvl w:val="0"/>
          <w:numId w:val="12"/>
        </w:numPr>
        <w:tabs>
          <w:tab w:val="clear" w:pos="720"/>
        </w:tabs>
        <w:overflowPunct w:val="0"/>
        <w:autoSpaceDE w:val="0"/>
        <w:autoSpaceDN w:val="0"/>
        <w:adjustRightInd w:val="0"/>
        <w:spacing w:after="120"/>
        <w:ind w:left="1040"/>
        <w:jc w:val="both"/>
        <w:textAlignment w:val="baseline"/>
        <w:rPr>
          <w:rFonts w:ascii="Arial" w:hAnsi="Arial" w:cs="Arial"/>
        </w:rPr>
      </w:pPr>
      <w:r w:rsidRPr="00566D69">
        <w:rPr>
          <w:rFonts w:ascii="Arial" w:hAnsi="Arial" w:cs="Arial"/>
          <w:szCs w:val="18"/>
        </w:rPr>
        <w:t>Mathematics progress for disadvantaged pupils.</w:t>
      </w:r>
    </w:p>
    <w:p w14:paraId="3B34EDC6" w14:textId="77777777" w:rsidR="003F4A02" w:rsidRPr="00566D69" w:rsidRDefault="003F4A02" w:rsidP="003F4A02">
      <w:pPr>
        <w:spacing w:before="230"/>
        <w:ind w:left="360" w:hanging="360"/>
        <w:jc w:val="both"/>
        <w:rPr>
          <w:rFonts w:ascii="Arial" w:hAnsi="Arial" w:cs="Arial"/>
          <w:b/>
          <w:szCs w:val="18"/>
        </w:rPr>
      </w:pPr>
      <w:r w:rsidRPr="00566D69">
        <w:rPr>
          <w:rFonts w:ascii="Arial" w:hAnsi="Arial" w:cs="Arial"/>
          <w:b/>
          <w:szCs w:val="18"/>
        </w:rPr>
        <w:t>2) Lead school: secondary school</w:t>
      </w:r>
    </w:p>
    <w:p w14:paraId="7892A3A3" w14:textId="77777777" w:rsidR="003F4A02" w:rsidRPr="00566D69" w:rsidRDefault="003F4A02" w:rsidP="003F4A02">
      <w:pPr>
        <w:widowControl w:val="0"/>
        <w:numPr>
          <w:ilvl w:val="0"/>
          <w:numId w:val="24"/>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be state funded.</w:t>
      </w:r>
    </w:p>
    <w:p w14:paraId="2C9C94D5" w14:textId="77777777" w:rsidR="003F4A02" w:rsidRPr="00566D69" w:rsidRDefault="003F4A02" w:rsidP="003F4A02">
      <w:pPr>
        <w:widowControl w:val="0"/>
        <w:numPr>
          <w:ilvl w:val="0"/>
          <w:numId w:val="24"/>
        </w:numPr>
        <w:overflowPunct w:val="0"/>
        <w:autoSpaceDE w:val="0"/>
        <w:autoSpaceDN w:val="0"/>
        <w:adjustRightInd w:val="0"/>
        <w:ind w:left="643"/>
        <w:contextualSpacing/>
        <w:jc w:val="both"/>
        <w:textAlignment w:val="baseline"/>
        <w:rPr>
          <w:rFonts w:ascii="Arial" w:hAnsi="Arial" w:cs="Arial"/>
          <w:szCs w:val="18"/>
        </w:rPr>
      </w:pPr>
      <w:r w:rsidRPr="00566D69">
        <w:rPr>
          <w:rFonts w:ascii="Arial" w:hAnsi="Arial" w:cs="Arial"/>
          <w:szCs w:val="18"/>
        </w:rPr>
        <w:t xml:space="preserve">Must be rated Outstanding or Good at the latest </w:t>
      </w:r>
      <w:proofErr w:type="spellStart"/>
      <w:r w:rsidRPr="00566D69">
        <w:rPr>
          <w:rFonts w:ascii="Arial" w:hAnsi="Arial" w:cs="Arial"/>
          <w:szCs w:val="18"/>
        </w:rPr>
        <w:t>Ofsted</w:t>
      </w:r>
      <w:proofErr w:type="spellEnd"/>
      <w:r w:rsidRPr="00566D69">
        <w:rPr>
          <w:rFonts w:ascii="Arial" w:hAnsi="Arial" w:cs="Arial"/>
          <w:szCs w:val="18"/>
        </w:rPr>
        <w:t xml:space="preserve"> inspection.</w:t>
      </w:r>
    </w:p>
    <w:p w14:paraId="0E068985" w14:textId="77777777" w:rsidR="003F4A02" w:rsidRPr="00566D69" w:rsidRDefault="003F4A02" w:rsidP="003F4A02">
      <w:pPr>
        <w:widowControl w:val="0"/>
        <w:numPr>
          <w:ilvl w:val="0"/>
          <w:numId w:val="24"/>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have EBacc entries above 45% for at least one of the last two years.</w:t>
      </w:r>
    </w:p>
    <w:p w14:paraId="2BD67A80" w14:textId="77777777" w:rsidR="003F4A02" w:rsidRPr="00566D69" w:rsidRDefault="003F4A02" w:rsidP="003F4A02">
      <w:pPr>
        <w:widowControl w:val="0"/>
        <w:numPr>
          <w:ilvl w:val="0"/>
          <w:numId w:val="24"/>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be above the national average (for GCSE) in two of the past three years in:</w:t>
      </w:r>
    </w:p>
    <w:p w14:paraId="5E264967" w14:textId="77777777" w:rsidR="003F4A02" w:rsidRPr="00566D69" w:rsidRDefault="003F4A02" w:rsidP="003F4A02">
      <w:pPr>
        <w:widowControl w:val="0"/>
        <w:numPr>
          <w:ilvl w:val="0"/>
          <w:numId w:val="22"/>
        </w:numPr>
        <w:overflowPunct w:val="0"/>
        <w:autoSpaceDE w:val="0"/>
        <w:autoSpaceDN w:val="0"/>
        <w:adjustRightInd w:val="0"/>
        <w:ind w:left="1040"/>
        <w:jc w:val="both"/>
        <w:textAlignment w:val="baseline"/>
        <w:rPr>
          <w:rFonts w:ascii="Arial" w:hAnsi="Arial" w:cs="Arial"/>
          <w:szCs w:val="18"/>
        </w:rPr>
      </w:pPr>
      <w:r w:rsidRPr="00566D69">
        <w:rPr>
          <w:rFonts w:ascii="Arial" w:hAnsi="Arial" w:cs="Arial"/>
          <w:szCs w:val="18"/>
        </w:rPr>
        <w:t>Mathematics attainment (achieving grades 9-4), and</w:t>
      </w:r>
    </w:p>
    <w:p w14:paraId="7DDAEA80" w14:textId="77777777" w:rsidR="003F4A02" w:rsidRPr="00566D69" w:rsidRDefault="003F4A02" w:rsidP="003F4A02">
      <w:pPr>
        <w:widowControl w:val="0"/>
        <w:numPr>
          <w:ilvl w:val="0"/>
          <w:numId w:val="22"/>
        </w:numPr>
        <w:overflowPunct w:val="0"/>
        <w:autoSpaceDE w:val="0"/>
        <w:autoSpaceDN w:val="0"/>
        <w:adjustRightInd w:val="0"/>
        <w:ind w:left="1040"/>
        <w:jc w:val="both"/>
        <w:textAlignment w:val="baseline"/>
        <w:rPr>
          <w:rFonts w:ascii="Arial" w:hAnsi="Arial" w:cs="Arial"/>
          <w:szCs w:val="18"/>
        </w:rPr>
      </w:pPr>
      <w:r w:rsidRPr="00566D69">
        <w:rPr>
          <w:rFonts w:ascii="Arial" w:hAnsi="Arial" w:cs="Arial"/>
          <w:szCs w:val="18"/>
        </w:rPr>
        <w:t>Mathematics progress, and/or</w:t>
      </w:r>
    </w:p>
    <w:p w14:paraId="52633AE4" w14:textId="77777777" w:rsidR="003F4A02" w:rsidRPr="00566D69" w:rsidRDefault="003F4A02" w:rsidP="003F4A02">
      <w:pPr>
        <w:widowControl w:val="0"/>
        <w:numPr>
          <w:ilvl w:val="0"/>
          <w:numId w:val="22"/>
        </w:numPr>
        <w:overflowPunct w:val="0"/>
        <w:autoSpaceDE w:val="0"/>
        <w:autoSpaceDN w:val="0"/>
        <w:adjustRightInd w:val="0"/>
        <w:spacing w:after="120"/>
        <w:ind w:left="1040"/>
        <w:textAlignment w:val="baseline"/>
        <w:rPr>
          <w:rFonts w:ascii="Arial" w:hAnsi="Arial" w:cs="Arial"/>
        </w:rPr>
      </w:pPr>
      <w:r w:rsidRPr="00566D69">
        <w:rPr>
          <w:rFonts w:ascii="Arial" w:hAnsi="Arial" w:cs="Arial"/>
          <w:szCs w:val="18"/>
        </w:rPr>
        <w:t>Mathematics progress for disadvantaged pupils.</w:t>
      </w:r>
    </w:p>
    <w:p w14:paraId="43D7298D" w14:textId="63F3C1E9" w:rsidR="003F4A02" w:rsidRPr="00566D69" w:rsidRDefault="003F4A02" w:rsidP="00593804">
      <w:pPr>
        <w:spacing w:before="230"/>
        <w:rPr>
          <w:rFonts w:ascii="Arial" w:hAnsi="Arial" w:cs="Arial"/>
          <w:szCs w:val="18"/>
        </w:rPr>
      </w:pPr>
      <w:r w:rsidRPr="00566D69">
        <w:rPr>
          <w:rFonts w:ascii="Arial" w:hAnsi="Arial" w:cs="Arial"/>
          <w:b/>
          <w:szCs w:val="18"/>
        </w:rPr>
        <w:t>3) Lead</w:t>
      </w:r>
      <w:r w:rsidR="00593804">
        <w:rPr>
          <w:rFonts w:ascii="Arial" w:hAnsi="Arial" w:cs="Arial"/>
          <w:b/>
          <w:szCs w:val="18"/>
        </w:rPr>
        <w:t xml:space="preserve"> </w:t>
      </w:r>
      <w:r w:rsidRPr="00566D69">
        <w:rPr>
          <w:rFonts w:ascii="Arial" w:hAnsi="Arial" w:cs="Arial"/>
          <w:b/>
          <w:szCs w:val="18"/>
        </w:rPr>
        <w:t xml:space="preserve">school: </w:t>
      </w:r>
      <w:proofErr w:type="gramStart"/>
      <w:r w:rsidRPr="00566D69">
        <w:rPr>
          <w:rFonts w:ascii="Arial" w:hAnsi="Arial" w:cs="Arial"/>
          <w:b/>
          <w:szCs w:val="18"/>
        </w:rPr>
        <w:t>Post-16</w:t>
      </w:r>
      <w:proofErr w:type="gramEnd"/>
      <w:r w:rsidRPr="00566D69">
        <w:rPr>
          <w:rFonts w:ascii="Arial" w:hAnsi="Arial" w:cs="Arial"/>
          <w:b/>
          <w:szCs w:val="18"/>
        </w:rPr>
        <w:t xml:space="preserve"> institution</w:t>
      </w:r>
      <w:r w:rsidRPr="00566D69">
        <w:rPr>
          <w:rFonts w:ascii="Arial" w:hAnsi="Arial" w:cs="Arial"/>
          <w:szCs w:val="18"/>
        </w:rPr>
        <w:t xml:space="preserve"> (applied to providers who offer exclusively 16-19)</w:t>
      </w:r>
      <w:r w:rsidRPr="00566D69">
        <w:rPr>
          <w:rFonts w:ascii="Arial" w:hAnsi="Arial" w:cs="Arial"/>
          <w:bCs/>
          <w:szCs w:val="18"/>
        </w:rPr>
        <w:br/>
      </w:r>
    </w:p>
    <w:p w14:paraId="3061CF34" w14:textId="77777777" w:rsidR="003F4A02" w:rsidRPr="00566D69" w:rsidRDefault="003F4A02" w:rsidP="003F4A02">
      <w:pPr>
        <w:widowControl w:val="0"/>
        <w:numPr>
          <w:ilvl w:val="0"/>
          <w:numId w:val="25"/>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Must be state funded.</w:t>
      </w:r>
    </w:p>
    <w:p w14:paraId="3356D495" w14:textId="77777777" w:rsidR="003F4A02" w:rsidRPr="00566D69" w:rsidRDefault="003F4A02" w:rsidP="003F4A02">
      <w:pPr>
        <w:widowControl w:val="0"/>
        <w:numPr>
          <w:ilvl w:val="0"/>
          <w:numId w:val="25"/>
        </w:numPr>
        <w:overflowPunct w:val="0"/>
        <w:autoSpaceDE w:val="0"/>
        <w:autoSpaceDN w:val="0"/>
        <w:adjustRightInd w:val="0"/>
        <w:ind w:left="643"/>
        <w:jc w:val="both"/>
        <w:textAlignment w:val="baseline"/>
        <w:rPr>
          <w:rFonts w:ascii="Arial" w:hAnsi="Arial" w:cs="Arial"/>
          <w:szCs w:val="18"/>
        </w:rPr>
      </w:pPr>
      <w:r w:rsidRPr="00566D69">
        <w:rPr>
          <w:rFonts w:ascii="Arial" w:hAnsi="Arial" w:cs="Arial"/>
          <w:szCs w:val="18"/>
        </w:rPr>
        <w:t xml:space="preserve">Must be rated Good or Outstanding at the latest </w:t>
      </w:r>
      <w:proofErr w:type="spellStart"/>
      <w:r w:rsidRPr="00566D69">
        <w:rPr>
          <w:rFonts w:ascii="Arial" w:hAnsi="Arial" w:cs="Arial"/>
          <w:szCs w:val="18"/>
        </w:rPr>
        <w:t>Ofsted</w:t>
      </w:r>
      <w:proofErr w:type="spellEnd"/>
      <w:r w:rsidRPr="00566D69">
        <w:rPr>
          <w:rFonts w:ascii="Arial" w:hAnsi="Arial" w:cs="Arial"/>
          <w:szCs w:val="18"/>
        </w:rPr>
        <w:t xml:space="preserve"> inspection.</w:t>
      </w:r>
    </w:p>
    <w:p w14:paraId="2526380A" w14:textId="77777777" w:rsidR="003F4A02" w:rsidRPr="00566D69" w:rsidRDefault="003F4A02" w:rsidP="003F4A02">
      <w:pPr>
        <w:widowControl w:val="0"/>
        <w:numPr>
          <w:ilvl w:val="0"/>
          <w:numId w:val="25"/>
        </w:numPr>
        <w:overflowPunct w:val="0"/>
        <w:autoSpaceDE w:val="0"/>
        <w:autoSpaceDN w:val="0"/>
        <w:adjustRightInd w:val="0"/>
        <w:ind w:left="643"/>
        <w:jc w:val="both"/>
        <w:textAlignment w:val="baseline"/>
        <w:rPr>
          <w:rFonts w:ascii="Arial" w:hAnsi="Arial" w:cs="Arial"/>
        </w:rPr>
      </w:pPr>
      <w:r w:rsidRPr="00566D69">
        <w:rPr>
          <w:rFonts w:ascii="Arial" w:hAnsi="Arial" w:cs="Arial"/>
        </w:rPr>
        <w:t>Must have a combined entry volume of 115 students for A Level Maths and/or Core Maths</w:t>
      </w:r>
    </w:p>
    <w:p w14:paraId="46409E4A" w14:textId="77777777" w:rsidR="003F4A02" w:rsidRPr="00566D69" w:rsidRDefault="003F4A02" w:rsidP="003F4A02">
      <w:pPr>
        <w:widowControl w:val="0"/>
        <w:numPr>
          <w:ilvl w:val="0"/>
          <w:numId w:val="25"/>
        </w:numPr>
        <w:overflowPunct w:val="0"/>
        <w:autoSpaceDE w:val="0"/>
        <w:autoSpaceDN w:val="0"/>
        <w:adjustRightInd w:val="0"/>
        <w:ind w:left="643"/>
        <w:contextualSpacing/>
        <w:textAlignment w:val="baseline"/>
        <w:rPr>
          <w:rFonts w:ascii="Arial" w:hAnsi="Arial" w:cs="Arial"/>
          <w:szCs w:val="18"/>
        </w:rPr>
      </w:pPr>
      <w:r w:rsidRPr="00566D69">
        <w:rPr>
          <w:rFonts w:ascii="Arial" w:hAnsi="Arial" w:cs="Arial"/>
          <w:szCs w:val="18"/>
        </w:rPr>
        <w:t xml:space="preserve">Percentage of students achieving A*-C in A Level Mathematics must be above the national average in two of the past three years (where applicable with schools delivering qualification), </w:t>
      </w:r>
      <w:proofErr w:type="gramStart"/>
      <w:r w:rsidRPr="00566D69">
        <w:rPr>
          <w:rFonts w:ascii="Arial" w:hAnsi="Arial" w:cs="Arial"/>
          <w:szCs w:val="18"/>
        </w:rPr>
        <w:t>and;</w:t>
      </w:r>
      <w:proofErr w:type="gramEnd"/>
    </w:p>
    <w:p w14:paraId="380561BD" w14:textId="77777777" w:rsidR="003F4A02" w:rsidRPr="00566D69" w:rsidRDefault="003F4A02" w:rsidP="003F4A02">
      <w:pPr>
        <w:widowControl w:val="0"/>
        <w:numPr>
          <w:ilvl w:val="0"/>
          <w:numId w:val="25"/>
        </w:numPr>
        <w:overflowPunct w:val="0"/>
        <w:autoSpaceDE w:val="0"/>
        <w:autoSpaceDN w:val="0"/>
        <w:adjustRightInd w:val="0"/>
        <w:ind w:left="643"/>
        <w:contextualSpacing/>
        <w:textAlignment w:val="baseline"/>
        <w:rPr>
          <w:rFonts w:ascii="Arial" w:hAnsi="Arial" w:cs="Arial"/>
          <w:szCs w:val="18"/>
        </w:rPr>
      </w:pPr>
      <w:r w:rsidRPr="00566D69">
        <w:rPr>
          <w:rFonts w:ascii="Arial" w:hAnsi="Arial" w:cs="Arial"/>
          <w:szCs w:val="18"/>
        </w:rPr>
        <w:t>Be above the national average in two of the past three years for at least one of the following:</w:t>
      </w:r>
    </w:p>
    <w:p w14:paraId="418355DE" w14:textId="77777777" w:rsidR="003F4A02" w:rsidRPr="00566D69" w:rsidRDefault="003F4A02" w:rsidP="003F4A02">
      <w:pPr>
        <w:widowControl w:val="0"/>
        <w:numPr>
          <w:ilvl w:val="2"/>
          <w:numId w:val="26"/>
        </w:numPr>
        <w:overflowPunct w:val="0"/>
        <w:autoSpaceDE w:val="0"/>
        <w:autoSpaceDN w:val="0"/>
        <w:adjustRightInd w:val="0"/>
        <w:ind w:left="1040"/>
        <w:contextualSpacing/>
        <w:textAlignment w:val="baseline"/>
        <w:rPr>
          <w:rFonts w:ascii="Arial" w:hAnsi="Arial" w:cs="Arial"/>
          <w:szCs w:val="18"/>
        </w:rPr>
      </w:pPr>
      <w:r w:rsidRPr="00566D69">
        <w:rPr>
          <w:rFonts w:ascii="Arial" w:hAnsi="Arial" w:cs="Arial"/>
          <w:szCs w:val="18"/>
        </w:rPr>
        <w:t>Percentage of students achieving A*-C in A-level further mathematics and / or</w:t>
      </w:r>
    </w:p>
    <w:p w14:paraId="6682070E" w14:textId="77777777" w:rsidR="003F4A02" w:rsidRPr="00566D69" w:rsidRDefault="003F4A02" w:rsidP="003F4A02">
      <w:pPr>
        <w:widowControl w:val="0"/>
        <w:numPr>
          <w:ilvl w:val="2"/>
          <w:numId w:val="26"/>
        </w:numPr>
        <w:overflowPunct w:val="0"/>
        <w:autoSpaceDE w:val="0"/>
        <w:autoSpaceDN w:val="0"/>
        <w:adjustRightInd w:val="0"/>
        <w:ind w:left="1040"/>
        <w:contextualSpacing/>
        <w:textAlignment w:val="baseline"/>
        <w:rPr>
          <w:rFonts w:ascii="Arial" w:hAnsi="Arial" w:cs="Arial"/>
          <w:szCs w:val="18"/>
        </w:rPr>
      </w:pPr>
      <w:r w:rsidRPr="00566D69">
        <w:rPr>
          <w:rFonts w:ascii="Arial" w:hAnsi="Arial" w:cs="Arial"/>
          <w:szCs w:val="18"/>
        </w:rPr>
        <w:t>Percentage of students achieving A*-C in Core maths and / or</w:t>
      </w:r>
    </w:p>
    <w:p w14:paraId="25558306" w14:textId="77777777" w:rsidR="003F4A02" w:rsidRPr="00566D69" w:rsidRDefault="003F4A02" w:rsidP="003F4A02">
      <w:pPr>
        <w:widowControl w:val="0"/>
        <w:numPr>
          <w:ilvl w:val="2"/>
          <w:numId w:val="26"/>
        </w:numPr>
        <w:overflowPunct w:val="0"/>
        <w:autoSpaceDE w:val="0"/>
        <w:autoSpaceDN w:val="0"/>
        <w:adjustRightInd w:val="0"/>
        <w:ind w:left="1040"/>
        <w:contextualSpacing/>
        <w:textAlignment w:val="baseline"/>
        <w:rPr>
          <w:rFonts w:ascii="Arial" w:hAnsi="Arial" w:cs="Arial"/>
          <w:szCs w:val="18"/>
        </w:rPr>
      </w:pPr>
      <w:r w:rsidRPr="00566D69">
        <w:rPr>
          <w:rFonts w:ascii="Arial" w:hAnsi="Arial" w:cs="Arial"/>
          <w:szCs w:val="18"/>
        </w:rPr>
        <w:t xml:space="preserve">Progress of level 2 students taking GCSE </w:t>
      </w:r>
      <w:proofErr w:type="spellStart"/>
      <w:r w:rsidRPr="00566D69">
        <w:rPr>
          <w:rFonts w:ascii="Arial" w:hAnsi="Arial" w:cs="Arial"/>
          <w:szCs w:val="18"/>
        </w:rPr>
        <w:t>resits</w:t>
      </w:r>
      <w:proofErr w:type="spellEnd"/>
    </w:p>
    <w:p w14:paraId="5C9035F9" w14:textId="77777777" w:rsidR="003F4A02" w:rsidRPr="00566D69" w:rsidRDefault="003F4A02" w:rsidP="003F4A02">
      <w:pPr>
        <w:jc w:val="right"/>
        <w:rPr>
          <w:rFonts w:ascii="Arial" w:hAnsi="Arial" w:cs="Arial"/>
        </w:rPr>
      </w:pPr>
    </w:p>
    <w:p w14:paraId="23738586" w14:textId="77777777" w:rsidR="003F4A02" w:rsidRPr="00566D69" w:rsidRDefault="003F4A02" w:rsidP="003F4A02">
      <w:pPr>
        <w:jc w:val="right"/>
        <w:rPr>
          <w:rFonts w:ascii="Arial" w:hAnsi="Arial" w:cs="Arial"/>
        </w:rPr>
      </w:pPr>
    </w:p>
    <w:p w14:paraId="21D62705" w14:textId="77777777" w:rsidR="003F4A02" w:rsidRDefault="003F4A02" w:rsidP="003F4A02">
      <w:pPr>
        <w:jc w:val="right"/>
        <w:rPr>
          <w:rFonts w:ascii="Arial" w:hAnsi="Arial" w:cs="Arial"/>
        </w:rPr>
      </w:pPr>
      <w:r w:rsidRPr="00566D69">
        <w:rPr>
          <w:rFonts w:ascii="Arial" w:hAnsi="Arial" w:cs="Arial"/>
        </w:rPr>
        <w:t>(September 2022)</w:t>
      </w:r>
    </w:p>
    <w:p w14:paraId="66D26817" w14:textId="77777777" w:rsidR="00E675A1" w:rsidRDefault="00E675A1" w:rsidP="003F4A02">
      <w:pPr>
        <w:jc w:val="right"/>
        <w:rPr>
          <w:rFonts w:ascii="Arial" w:hAnsi="Arial" w:cs="Arial"/>
        </w:rPr>
      </w:pPr>
    </w:p>
    <w:p w14:paraId="5C327491" w14:textId="77777777" w:rsidR="00E9295A" w:rsidRDefault="00E9295A" w:rsidP="00B178B4">
      <w:pPr>
        <w:pStyle w:val="DeptBullets"/>
        <w:numPr>
          <w:ilvl w:val="0"/>
          <w:numId w:val="0"/>
        </w:numPr>
        <w:rPr>
          <w:rFonts w:ascii="Arial" w:hAnsi="Arial" w:cs="Arial"/>
          <w:b/>
          <w:bCs/>
        </w:rPr>
        <w:sectPr w:rsidR="00E9295A" w:rsidSect="00A943FF">
          <w:footerReference w:type="default" r:id="rId12"/>
          <w:footerReference w:type="first" r:id="rId13"/>
          <w:pgSz w:w="11900" w:h="16840"/>
          <w:pgMar w:top="1440" w:right="1440" w:bottom="1440" w:left="1440" w:header="708" w:footer="708" w:gutter="0"/>
          <w:pgNumType w:start="1"/>
          <w:cols w:space="720"/>
          <w:docGrid w:linePitch="326"/>
        </w:sectPr>
      </w:pPr>
    </w:p>
    <w:p w14:paraId="3675152B" w14:textId="77777777" w:rsidR="00C21E1E" w:rsidRPr="00C21E1E" w:rsidRDefault="00C21E1E" w:rsidP="00C21E1E">
      <w:pPr>
        <w:pStyle w:val="DeptBullets"/>
        <w:numPr>
          <w:ilvl w:val="0"/>
          <w:numId w:val="0"/>
        </w:numPr>
        <w:rPr>
          <w:rFonts w:ascii="Arial" w:hAnsi="Arial" w:cs="Arial"/>
          <w:b/>
          <w:bCs/>
          <w:sz w:val="32"/>
          <w:szCs w:val="32"/>
        </w:rPr>
      </w:pPr>
      <w:r w:rsidRPr="00C21E1E">
        <w:rPr>
          <w:rFonts w:ascii="Arial" w:hAnsi="Arial" w:cs="Arial"/>
          <w:b/>
          <w:bCs/>
          <w:sz w:val="32"/>
          <w:szCs w:val="32"/>
        </w:rPr>
        <w:lastRenderedPageBreak/>
        <w:t>Maths Hub Lead School - Eligibility Checklist</w:t>
      </w:r>
    </w:p>
    <w:p w14:paraId="44B9EAF6" w14:textId="77777777" w:rsidR="00C21E1E" w:rsidRPr="00C21E1E" w:rsidRDefault="00C21E1E" w:rsidP="00C21E1E">
      <w:pPr>
        <w:pStyle w:val="DeptBullets"/>
        <w:numPr>
          <w:ilvl w:val="0"/>
          <w:numId w:val="0"/>
        </w:numPr>
        <w:rPr>
          <w:rFonts w:ascii="Arial" w:hAnsi="Arial" w:cs="Arial"/>
        </w:rPr>
      </w:pPr>
      <w:r w:rsidRPr="00C21E1E">
        <w:rPr>
          <w:rFonts w:ascii="Arial" w:hAnsi="Arial" w:cs="Arial"/>
        </w:rPr>
        <w:t xml:space="preserve">Please work down the checklist and tick ‘yes’ if applicable for each criterion to ensure you meet all the eligibility criteria before submitting a bid. For the eligibility checks we will use data from 2022, 2019 and 2018, apart from EBacc where we will use data from 2022 and 2021. </w:t>
      </w:r>
    </w:p>
    <w:p w14:paraId="2B77BF21" w14:textId="77777777" w:rsidR="00C21E1E" w:rsidRPr="00C21E1E" w:rsidRDefault="00C21E1E" w:rsidP="00C21E1E">
      <w:pPr>
        <w:pStyle w:val="DeptBullets"/>
        <w:numPr>
          <w:ilvl w:val="0"/>
          <w:numId w:val="0"/>
        </w:numPr>
        <w:spacing w:after="0"/>
        <w:rPr>
          <w:rFonts w:ascii="Arial" w:hAnsi="Arial" w:cs="Arial"/>
          <w:b/>
          <w:bCs/>
        </w:rPr>
      </w:pPr>
    </w:p>
    <w:p w14:paraId="2BEC0DB6" w14:textId="77777777" w:rsidR="00C21E1E" w:rsidRPr="00C21E1E" w:rsidRDefault="00C21E1E" w:rsidP="00C21E1E">
      <w:pPr>
        <w:pStyle w:val="DeptBullets"/>
        <w:numPr>
          <w:ilvl w:val="0"/>
          <w:numId w:val="0"/>
        </w:numPr>
        <w:spacing w:after="0"/>
        <w:rPr>
          <w:rFonts w:ascii="Arial" w:hAnsi="Arial" w:cs="Arial"/>
          <w:b/>
          <w:bCs/>
        </w:rPr>
      </w:pPr>
      <w:r w:rsidRPr="00C21E1E">
        <w:rPr>
          <w:rFonts w:ascii="Arial" w:hAnsi="Arial" w:cs="Arial"/>
          <w:b/>
          <w:bCs/>
        </w:rPr>
        <w:t>Both primary and secondary schools must be able to tick yes to the following two questions.</w:t>
      </w:r>
    </w:p>
    <w:p w14:paraId="19D6C5DA" w14:textId="77777777" w:rsidR="00C21E1E" w:rsidRPr="00C21E1E" w:rsidRDefault="00C21E1E" w:rsidP="00C21E1E">
      <w:pPr>
        <w:pStyle w:val="DeptBullets"/>
        <w:numPr>
          <w:ilvl w:val="0"/>
          <w:numId w:val="0"/>
        </w:numPr>
        <w:spacing w:after="0"/>
        <w:rPr>
          <w:rFonts w:ascii="Arial" w:hAnsi="Arial" w:cs="Arial"/>
          <w:b/>
          <w:bCs/>
        </w:rPr>
      </w:pPr>
    </w:p>
    <w:tbl>
      <w:tblPr>
        <w:tblStyle w:val="GridTable4-Accent1"/>
        <w:tblW w:w="737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4110"/>
      </w:tblGrid>
      <w:tr w:rsidR="00C21E1E" w:rsidRPr="00C21E1E" w14:paraId="35C9FCAE" w14:textId="77777777">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left w:val="single" w:sz="4" w:space="0" w:color="auto"/>
              <w:bottom w:val="single" w:sz="4" w:space="0" w:color="auto"/>
              <w:right w:val="single" w:sz="4" w:space="0" w:color="auto"/>
            </w:tcBorders>
          </w:tcPr>
          <w:p w14:paraId="5F7101A7" w14:textId="77777777" w:rsidR="00C21E1E" w:rsidRPr="00C21E1E" w:rsidRDefault="00C21E1E">
            <w:pPr>
              <w:pStyle w:val="DeptBullets"/>
              <w:numPr>
                <w:ilvl w:val="0"/>
                <w:numId w:val="0"/>
              </w:numPr>
              <w:spacing w:after="0"/>
              <w:jc w:val="center"/>
              <w:rPr>
                <w:rFonts w:ascii="Arial" w:hAnsi="Arial" w:cs="Arial"/>
              </w:rPr>
            </w:pPr>
            <w:r w:rsidRPr="00C21E1E">
              <w:rPr>
                <w:rFonts w:ascii="Arial" w:hAnsi="Arial" w:cs="Arial"/>
              </w:rPr>
              <w:t>You are a state funded school.</w:t>
            </w:r>
          </w:p>
        </w:tc>
        <w:tc>
          <w:tcPr>
            <w:tcW w:w="4110" w:type="dxa"/>
            <w:tcBorders>
              <w:top w:val="single" w:sz="4" w:space="0" w:color="auto"/>
              <w:left w:val="single" w:sz="4" w:space="0" w:color="auto"/>
              <w:bottom w:val="single" w:sz="4" w:space="0" w:color="auto"/>
              <w:right w:val="single" w:sz="4" w:space="0" w:color="auto"/>
            </w:tcBorders>
          </w:tcPr>
          <w:p w14:paraId="0D594C1F"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Your latest </w:t>
            </w:r>
            <w:proofErr w:type="spellStart"/>
            <w:r w:rsidRPr="00C21E1E">
              <w:rPr>
                <w:rFonts w:ascii="Arial" w:hAnsi="Arial" w:cs="Arial"/>
              </w:rPr>
              <w:t>Ofsted</w:t>
            </w:r>
            <w:proofErr w:type="spellEnd"/>
            <w:r w:rsidRPr="00C21E1E">
              <w:rPr>
                <w:rFonts w:ascii="Arial" w:hAnsi="Arial" w:cs="Arial"/>
              </w:rPr>
              <w:t xml:space="preserve"> inspection was rated Outstanding or Good.</w:t>
            </w:r>
          </w:p>
        </w:tc>
      </w:tr>
      <w:tr w:rsidR="00C21E1E" w:rsidRPr="00C21E1E" w14:paraId="1BB2E0CA" w14:textId="77777777">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auto"/>
            </w:tcBorders>
            <w:shd w:val="clear" w:color="auto" w:fill="auto"/>
          </w:tcPr>
          <w:p w14:paraId="20EF7AA0" w14:textId="77777777" w:rsidR="00C21E1E" w:rsidRPr="00C21E1E" w:rsidRDefault="00C21E1E">
            <w:pPr>
              <w:pStyle w:val="DeptBullets"/>
              <w:numPr>
                <w:ilvl w:val="0"/>
                <w:numId w:val="0"/>
              </w:numPr>
              <w:spacing w:after="0"/>
              <w:jc w:val="center"/>
              <w:rPr>
                <w:rFonts w:ascii="Arial" w:hAnsi="Arial" w:cs="Arial"/>
                <w:b w:val="0"/>
                <w:bCs w:val="0"/>
              </w:rPr>
            </w:pPr>
          </w:p>
        </w:tc>
        <w:tc>
          <w:tcPr>
            <w:tcW w:w="4110" w:type="dxa"/>
            <w:tcBorders>
              <w:top w:val="single" w:sz="4" w:space="0" w:color="auto"/>
            </w:tcBorders>
            <w:shd w:val="clear" w:color="auto" w:fill="auto"/>
          </w:tcPr>
          <w:p w14:paraId="1E4016AE"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bCs/>
              </w:rPr>
            </w:pPr>
          </w:p>
        </w:tc>
      </w:tr>
    </w:tbl>
    <w:p w14:paraId="3866551D" w14:textId="77777777" w:rsidR="00C21E1E" w:rsidRPr="00C21E1E" w:rsidRDefault="00C21E1E" w:rsidP="00C21E1E">
      <w:pPr>
        <w:pStyle w:val="DeptBullets"/>
        <w:numPr>
          <w:ilvl w:val="0"/>
          <w:numId w:val="0"/>
        </w:numPr>
        <w:spacing w:after="0"/>
        <w:rPr>
          <w:rFonts w:ascii="Arial" w:hAnsi="Arial" w:cs="Arial"/>
          <w:b/>
          <w:bCs/>
        </w:rPr>
      </w:pPr>
    </w:p>
    <w:p w14:paraId="48DC080F" w14:textId="77777777" w:rsidR="00C21E1E" w:rsidRPr="00C21E1E" w:rsidRDefault="00C21E1E" w:rsidP="00C21E1E">
      <w:pPr>
        <w:pStyle w:val="DeptBullets"/>
        <w:numPr>
          <w:ilvl w:val="0"/>
          <w:numId w:val="0"/>
        </w:numPr>
        <w:spacing w:after="0"/>
        <w:rPr>
          <w:rFonts w:ascii="Arial" w:hAnsi="Arial" w:cs="Arial"/>
          <w:b/>
          <w:bCs/>
        </w:rPr>
      </w:pPr>
    </w:p>
    <w:p w14:paraId="3C2E0F13" w14:textId="77777777" w:rsidR="00C21E1E" w:rsidRPr="00C21E1E" w:rsidRDefault="00C21E1E" w:rsidP="00C21E1E">
      <w:pPr>
        <w:pStyle w:val="DeptBullets"/>
        <w:numPr>
          <w:ilvl w:val="0"/>
          <w:numId w:val="0"/>
        </w:numPr>
        <w:spacing w:after="0"/>
        <w:rPr>
          <w:rFonts w:ascii="Arial" w:hAnsi="Arial" w:cs="Arial"/>
          <w:b/>
          <w:bCs/>
        </w:rPr>
      </w:pPr>
      <w:r w:rsidRPr="00C21E1E">
        <w:rPr>
          <w:rFonts w:ascii="Arial" w:hAnsi="Arial" w:cs="Arial"/>
          <w:b/>
          <w:bCs/>
        </w:rPr>
        <w:t>Primary schools - Lead School eligibility criteria</w:t>
      </w:r>
    </w:p>
    <w:p w14:paraId="4E052DC2" w14:textId="77777777" w:rsidR="00C21E1E" w:rsidRPr="00C21E1E" w:rsidRDefault="00C21E1E" w:rsidP="00C21E1E">
      <w:pPr>
        <w:pStyle w:val="DeptBullets"/>
        <w:numPr>
          <w:ilvl w:val="0"/>
          <w:numId w:val="0"/>
        </w:numPr>
        <w:spacing w:after="0"/>
        <w:rPr>
          <w:rFonts w:ascii="Arial" w:hAnsi="Arial" w:cs="Arial"/>
          <w:b/>
          <w:bCs/>
        </w:rPr>
      </w:pPr>
    </w:p>
    <w:tbl>
      <w:tblPr>
        <w:tblStyle w:val="GridTable4-Accent1"/>
        <w:tblW w:w="14176" w:type="dxa"/>
        <w:tblInd w:w="-289"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277"/>
        <w:gridCol w:w="1275"/>
        <w:gridCol w:w="1134"/>
        <w:gridCol w:w="1134"/>
        <w:gridCol w:w="1134"/>
        <w:gridCol w:w="1276"/>
        <w:gridCol w:w="1164"/>
        <w:gridCol w:w="1157"/>
        <w:gridCol w:w="1159"/>
        <w:gridCol w:w="1198"/>
        <w:gridCol w:w="1134"/>
        <w:gridCol w:w="1134"/>
      </w:tblGrid>
      <w:tr w:rsidR="00C21E1E" w:rsidRPr="00C21E1E" w14:paraId="6E606853" w14:textId="77777777">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277" w:type="dxa"/>
            <w:tcBorders>
              <w:right w:val="single" w:sz="8" w:space="0" w:color="000000" w:themeColor="text1"/>
            </w:tcBorders>
          </w:tcPr>
          <w:p w14:paraId="37B94DDC" w14:textId="77777777" w:rsidR="00C21E1E" w:rsidRPr="00C21E1E" w:rsidRDefault="00C21E1E">
            <w:pPr>
              <w:pStyle w:val="DeptBullets"/>
              <w:numPr>
                <w:ilvl w:val="0"/>
                <w:numId w:val="0"/>
              </w:numPr>
              <w:spacing w:after="0"/>
              <w:rPr>
                <w:rFonts w:ascii="Arial" w:hAnsi="Arial" w:cs="Arial"/>
                <w:b w:val="0"/>
                <w:bCs w:val="0"/>
              </w:rPr>
            </w:pPr>
          </w:p>
        </w:tc>
        <w:tc>
          <w:tcPr>
            <w:tcW w:w="3543" w:type="dxa"/>
            <w:gridSpan w:val="3"/>
            <w:tcBorders>
              <w:left w:val="single" w:sz="8" w:space="0" w:color="000000" w:themeColor="text1"/>
              <w:right w:val="single" w:sz="8" w:space="0" w:color="000000" w:themeColor="text1"/>
            </w:tcBorders>
          </w:tcPr>
          <w:p w14:paraId="5AECB75A"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rPr>
            </w:pPr>
            <w:r w:rsidRPr="00C21E1E">
              <w:rPr>
                <w:rFonts w:ascii="Arial" w:hAnsi="Arial" w:cs="Arial"/>
                <w:b w:val="0"/>
                <w:bCs w:val="0"/>
              </w:rPr>
              <w:t>E</w:t>
            </w:r>
            <w:r w:rsidRPr="00C21E1E">
              <w:rPr>
                <w:rFonts w:ascii="Arial" w:hAnsi="Arial" w:cs="Arial"/>
              </w:rPr>
              <w:t>xpected standard in Maths</w:t>
            </w:r>
          </w:p>
        </w:tc>
        <w:tc>
          <w:tcPr>
            <w:tcW w:w="2410" w:type="dxa"/>
            <w:gridSpan w:val="2"/>
            <w:tcBorders>
              <w:left w:val="single" w:sz="8" w:space="0" w:color="000000" w:themeColor="text1"/>
              <w:right w:val="single" w:sz="8" w:space="0" w:color="000000" w:themeColor="text1"/>
            </w:tcBorders>
          </w:tcPr>
          <w:p w14:paraId="4642EE02"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b w:val="0"/>
                <w:bCs w:val="0"/>
              </w:rPr>
              <w:t>P</w:t>
            </w:r>
            <w:r w:rsidRPr="00C21E1E">
              <w:rPr>
                <w:rFonts w:ascii="Arial" w:hAnsi="Arial" w:cs="Arial"/>
              </w:rPr>
              <w:t xml:space="preserve">honics score above 90% </w:t>
            </w:r>
          </w:p>
        </w:tc>
        <w:tc>
          <w:tcPr>
            <w:tcW w:w="3480" w:type="dxa"/>
            <w:gridSpan w:val="3"/>
            <w:tcBorders>
              <w:left w:val="single" w:sz="8" w:space="0" w:color="000000" w:themeColor="text1"/>
              <w:right w:val="single" w:sz="8" w:space="0" w:color="000000" w:themeColor="text1"/>
            </w:tcBorders>
          </w:tcPr>
          <w:p w14:paraId="10B1954D"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Progress in Maths </w:t>
            </w:r>
          </w:p>
        </w:tc>
        <w:tc>
          <w:tcPr>
            <w:tcW w:w="3466" w:type="dxa"/>
            <w:gridSpan w:val="3"/>
            <w:tcBorders>
              <w:left w:val="single" w:sz="8" w:space="0" w:color="000000" w:themeColor="text1"/>
            </w:tcBorders>
          </w:tcPr>
          <w:p w14:paraId="07B964E5"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Progress in Maths, Disadvantaged pupils </w:t>
            </w:r>
          </w:p>
        </w:tc>
      </w:tr>
      <w:tr w:rsidR="00C21E1E" w:rsidRPr="00C21E1E" w14:paraId="12AF5899" w14:textId="77777777">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1277" w:type="dxa"/>
            <w:tcBorders>
              <w:right w:val="single" w:sz="8" w:space="0" w:color="000000" w:themeColor="text1"/>
            </w:tcBorders>
          </w:tcPr>
          <w:p w14:paraId="038F2EC5" w14:textId="77777777" w:rsidR="00C21E1E" w:rsidRPr="00C21E1E" w:rsidRDefault="00C21E1E">
            <w:pPr>
              <w:pStyle w:val="DeptBullets"/>
              <w:numPr>
                <w:ilvl w:val="0"/>
                <w:numId w:val="0"/>
              </w:numPr>
              <w:spacing w:after="0"/>
              <w:rPr>
                <w:rFonts w:ascii="Arial" w:hAnsi="Arial" w:cs="Arial"/>
              </w:rPr>
            </w:pPr>
          </w:p>
        </w:tc>
        <w:tc>
          <w:tcPr>
            <w:tcW w:w="3543" w:type="dxa"/>
            <w:gridSpan w:val="3"/>
            <w:tcBorders>
              <w:left w:val="single" w:sz="8" w:space="0" w:color="000000" w:themeColor="text1"/>
              <w:right w:val="single" w:sz="8" w:space="0" w:color="000000" w:themeColor="text1"/>
            </w:tcBorders>
          </w:tcPr>
          <w:p w14:paraId="2701DD5C"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Higher than National Average in 2 of the last 3 years</w:t>
            </w:r>
          </w:p>
        </w:tc>
        <w:tc>
          <w:tcPr>
            <w:tcW w:w="2410" w:type="dxa"/>
            <w:gridSpan w:val="2"/>
            <w:tcBorders>
              <w:left w:val="single" w:sz="8" w:space="0" w:color="000000" w:themeColor="text1"/>
              <w:right w:val="single" w:sz="8" w:space="0" w:color="000000" w:themeColor="text1"/>
            </w:tcBorders>
          </w:tcPr>
          <w:p w14:paraId="0D95E931"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1 out of 2 years</w:t>
            </w:r>
          </w:p>
        </w:tc>
        <w:tc>
          <w:tcPr>
            <w:tcW w:w="6946" w:type="dxa"/>
            <w:gridSpan w:val="6"/>
            <w:tcBorders>
              <w:left w:val="single" w:sz="8" w:space="0" w:color="000000" w:themeColor="text1"/>
            </w:tcBorders>
          </w:tcPr>
          <w:p w14:paraId="4B1FBD50"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You must meet at least one of the above.</w:t>
            </w:r>
          </w:p>
          <w:p w14:paraId="1BAE8EF7"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Higher than National Average in 2 of the last 3 years</w:t>
            </w:r>
          </w:p>
        </w:tc>
      </w:tr>
      <w:tr w:rsidR="00C21E1E" w:rsidRPr="00C21E1E" w14:paraId="107258B0" w14:textId="77777777">
        <w:trPr>
          <w:trHeight w:val="388"/>
        </w:trPr>
        <w:tc>
          <w:tcPr>
            <w:cnfStyle w:val="001000000000" w:firstRow="0" w:lastRow="0" w:firstColumn="1" w:lastColumn="0" w:oddVBand="0" w:evenVBand="0" w:oddHBand="0" w:evenHBand="0" w:firstRowFirstColumn="0" w:firstRowLastColumn="0" w:lastRowFirstColumn="0" w:lastRowLastColumn="0"/>
            <w:tcW w:w="1277" w:type="dxa"/>
            <w:tcBorders>
              <w:right w:val="single" w:sz="8" w:space="0" w:color="000000" w:themeColor="text1"/>
            </w:tcBorders>
            <w:vAlign w:val="center"/>
          </w:tcPr>
          <w:p w14:paraId="6BE6A844"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 xml:space="preserve">Year  </w:t>
            </w:r>
          </w:p>
        </w:tc>
        <w:tc>
          <w:tcPr>
            <w:tcW w:w="1275" w:type="dxa"/>
            <w:tcBorders>
              <w:left w:val="single" w:sz="8" w:space="0" w:color="000000" w:themeColor="text1"/>
            </w:tcBorders>
            <w:vAlign w:val="center"/>
          </w:tcPr>
          <w:p w14:paraId="0AD22BDF"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vAlign w:val="center"/>
          </w:tcPr>
          <w:p w14:paraId="3BE9C488"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tcBorders>
              <w:right w:val="single" w:sz="8" w:space="0" w:color="000000" w:themeColor="text1"/>
            </w:tcBorders>
            <w:vAlign w:val="center"/>
          </w:tcPr>
          <w:p w14:paraId="122569EE"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34" w:type="dxa"/>
            <w:tcBorders>
              <w:left w:val="single" w:sz="8" w:space="0" w:color="000000" w:themeColor="text1"/>
            </w:tcBorders>
            <w:vAlign w:val="center"/>
          </w:tcPr>
          <w:p w14:paraId="405D7EBE"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2018/19 </w:t>
            </w:r>
          </w:p>
        </w:tc>
        <w:tc>
          <w:tcPr>
            <w:tcW w:w="1276" w:type="dxa"/>
            <w:tcBorders>
              <w:right w:val="single" w:sz="8" w:space="0" w:color="000000" w:themeColor="text1"/>
            </w:tcBorders>
            <w:vAlign w:val="center"/>
          </w:tcPr>
          <w:p w14:paraId="5DD40A1A"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2021/22 </w:t>
            </w:r>
          </w:p>
        </w:tc>
        <w:tc>
          <w:tcPr>
            <w:tcW w:w="1164" w:type="dxa"/>
            <w:tcBorders>
              <w:left w:val="single" w:sz="8" w:space="0" w:color="000000" w:themeColor="text1"/>
            </w:tcBorders>
            <w:vAlign w:val="center"/>
          </w:tcPr>
          <w:p w14:paraId="2A946170"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57" w:type="dxa"/>
            <w:vAlign w:val="center"/>
          </w:tcPr>
          <w:p w14:paraId="196ABEEF"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59" w:type="dxa"/>
            <w:tcBorders>
              <w:right w:val="single" w:sz="8" w:space="0" w:color="000000" w:themeColor="text1"/>
            </w:tcBorders>
            <w:vAlign w:val="center"/>
          </w:tcPr>
          <w:p w14:paraId="2F2BA7F9"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98" w:type="dxa"/>
            <w:tcBorders>
              <w:left w:val="single" w:sz="8" w:space="0" w:color="000000" w:themeColor="text1"/>
            </w:tcBorders>
            <w:vAlign w:val="center"/>
          </w:tcPr>
          <w:p w14:paraId="38D7CA6F"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vAlign w:val="center"/>
          </w:tcPr>
          <w:p w14:paraId="497DC909"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vAlign w:val="center"/>
          </w:tcPr>
          <w:p w14:paraId="79962765"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r>
      <w:tr w:rsidR="00C21E1E" w:rsidRPr="00C21E1E" w14:paraId="1CE20690" w14:textId="77777777">
        <w:trPr>
          <w:cnfStyle w:val="000000100000" w:firstRow="0" w:lastRow="0" w:firstColumn="0" w:lastColumn="0" w:oddVBand="0" w:evenVBand="0" w:oddHBand="1"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1277" w:type="dxa"/>
            <w:tcBorders>
              <w:right w:val="single" w:sz="8" w:space="0" w:color="000000" w:themeColor="text1"/>
            </w:tcBorders>
          </w:tcPr>
          <w:p w14:paraId="0DC10952"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National Average</w:t>
            </w:r>
          </w:p>
        </w:tc>
        <w:tc>
          <w:tcPr>
            <w:tcW w:w="1275" w:type="dxa"/>
            <w:tcBorders>
              <w:left w:val="single" w:sz="8" w:space="0" w:color="000000" w:themeColor="text1"/>
            </w:tcBorders>
            <w:vAlign w:val="center"/>
          </w:tcPr>
          <w:p w14:paraId="418F36CD"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75%</w:t>
            </w:r>
          </w:p>
        </w:tc>
        <w:tc>
          <w:tcPr>
            <w:tcW w:w="1134" w:type="dxa"/>
            <w:vAlign w:val="center"/>
          </w:tcPr>
          <w:p w14:paraId="2E36302A"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79%</w:t>
            </w:r>
          </w:p>
        </w:tc>
        <w:tc>
          <w:tcPr>
            <w:tcW w:w="1134" w:type="dxa"/>
            <w:tcBorders>
              <w:right w:val="single" w:sz="8" w:space="0" w:color="000000" w:themeColor="text1"/>
            </w:tcBorders>
            <w:vAlign w:val="center"/>
          </w:tcPr>
          <w:p w14:paraId="6FE27EFE"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71%</w:t>
            </w:r>
          </w:p>
        </w:tc>
        <w:tc>
          <w:tcPr>
            <w:tcW w:w="1134" w:type="dxa"/>
            <w:tcBorders>
              <w:left w:val="single" w:sz="8" w:space="0" w:color="000000" w:themeColor="text1"/>
            </w:tcBorders>
            <w:vAlign w:val="center"/>
          </w:tcPr>
          <w:p w14:paraId="5F2EB7E7"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91% (Year 2)</w:t>
            </w:r>
          </w:p>
        </w:tc>
        <w:tc>
          <w:tcPr>
            <w:tcW w:w="1276" w:type="dxa"/>
            <w:tcBorders>
              <w:right w:val="single" w:sz="8" w:space="0" w:color="000000" w:themeColor="text1"/>
            </w:tcBorders>
            <w:vAlign w:val="center"/>
          </w:tcPr>
          <w:p w14:paraId="1E520CD6"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 xml:space="preserve">75% (Year </w:t>
            </w:r>
            <w:proofErr w:type="gramStart"/>
            <w:r w:rsidRPr="00C21E1E">
              <w:rPr>
                <w:rFonts w:ascii="Arial" w:hAnsi="Arial" w:cs="Arial"/>
              </w:rPr>
              <w:t>1)*</w:t>
            </w:r>
            <w:proofErr w:type="gramEnd"/>
          </w:p>
        </w:tc>
        <w:tc>
          <w:tcPr>
            <w:tcW w:w="1164" w:type="dxa"/>
            <w:tcBorders>
              <w:left w:val="single" w:sz="8" w:space="0" w:color="000000" w:themeColor="text1"/>
            </w:tcBorders>
            <w:vAlign w:val="center"/>
          </w:tcPr>
          <w:p w14:paraId="4CC32124"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w:t>
            </w:r>
          </w:p>
        </w:tc>
        <w:tc>
          <w:tcPr>
            <w:tcW w:w="1157" w:type="dxa"/>
            <w:vAlign w:val="center"/>
          </w:tcPr>
          <w:p w14:paraId="74DB5324"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w:t>
            </w:r>
          </w:p>
        </w:tc>
        <w:tc>
          <w:tcPr>
            <w:tcW w:w="1159" w:type="dxa"/>
            <w:tcBorders>
              <w:right w:val="single" w:sz="8" w:space="0" w:color="000000" w:themeColor="text1"/>
            </w:tcBorders>
            <w:vAlign w:val="center"/>
          </w:tcPr>
          <w:p w14:paraId="1D118FF4"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w:t>
            </w:r>
          </w:p>
        </w:tc>
        <w:tc>
          <w:tcPr>
            <w:tcW w:w="1198" w:type="dxa"/>
            <w:tcBorders>
              <w:left w:val="single" w:sz="8" w:space="0" w:color="000000" w:themeColor="text1"/>
            </w:tcBorders>
            <w:vAlign w:val="center"/>
          </w:tcPr>
          <w:p w14:paraId="45CC517E"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-0.6</w:t>
            </w:r>
          </w:p>
        </w:tc>
        <w:tc>
          <w:tcPr>
            <w:tcW w:w="1134" w:type="dxa"/>
            <w:vAlign w:val="center"/>
          </w:tcPr>
          <w:p w14:paraId="4A5F1E0C"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-0.7</w:t>
            </w:r>
          </w:p>
        </w:tc>
        <w:tc>
          <w:tcPr>
            <w:tcW w:w="1134" w:type="dxa"/>
            <w:vAlign w:val="center"/>
          </w:tcPr>
          <w:p w14:paraId="3E1092F1"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-0.7</w:t>
            </w:r>
          </w:p>
        </w:tc>
      </w:tr>
      <w:tr w:rsidR="00C21E1E" w:rsidRPr="00C21E1E" w14:paraId="003B89EC" w14:textId="77777777">
        <w:trPr>
          <w:trHeight w:val="43"/>
        </w:trPr>
        <w:tc>
          <w:tcPr>
            <w:cnfStyle w:val="001000000000" w:firstRow="0" w:lastRow="0" w:firstColumn="1" w:lastColumn="0" w:oddVBand="0" w:evenVBand="0" w:oddHBand="0" w:evenHBand="0" w:firstRowFirstColumn="0" w:firstRowLastColumn="0" w:lastRowFirstColumn="0" w:lastRowLastColumn="0"/>
            <w:tcW w:w="1277" w:type="dxa"/>
            <w:tcBorders>
              <w:right w:val="single" w:sz="8" w:space="0" w:color="000000" w:themeColor="text1"/>
            </w:tcBorders>
          </w:tcPr>
          <w:p w14:paraId="26228214"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Yes</w:t>
            </w:r>
          </w:p>
        </w:tc>
        <w:tc>
          <w:tcPr>
            <w:tcW w:w="1275" w:type="dxa"/>
            <w:tcBorders>
              <w:left w:val="single" w:sz="8" w:space="0" w:color="000000" w:themeColor="text1"/>
            </w:tcBorders>
          </w:tcPr>
          <w:p w14:paraId="14E502D9"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0AB008C"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right w:val="single" w:sz="8" w:space="0" w:color="000000" w:themeColor="text1"/>
            </w:tcBorders>
          </w:tcPr>
          <w:p w14:paraId="2B40B9CD"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left w:val="single" w:sz="8" w:space="0" w:color="000000" w:themeColor="text1"/>
            </w:tcBorders>
          </w:tcPr>
          <w:p w14:paraId="6D24B720"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Borders>
              <w:right w:val="single" w:sz="8" w:space="0" w:color="000000" w:themeColor="text1"/>
            </w:tcBorders>
          </w:tcPr>
          <w:p w14:paraId="349235AB"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64" w:type="dxa"/>
            <w:tcBorders>
              <w:left w:val="single" w:sz="8" w:space="0" w:color="000000" w:themeColor="text1"/>
            </w:tcBorders>
          </w:tcPr>
          <w:p w14:paraId="6821C273"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7" w:type="dxa"/>
          </w:tcPr>
          <w:p w14:paraId="722DB41B"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59" w:type="dxa"/>
            <w:tcBorders>
              <w:right w:val="single" w:sz="8" w:space="0" w:color="000000" w:themeColor="text1"/>
            </w:tcBorders>
          </w:tcPr>
          <w:p w14:paraId="5E635316"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8" w:type="dxa"/>
            <w:tcBorders>
              <w:left w:val="single" w:sz="8" w:space="0" w:color="000000" w:themeColor="text1"/>
            </w:tcBorders>
          </w:tcPr>
          <w:p w14:paraId="237766C2"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6ADEC4E"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494F3F48"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0726D145" w14:textId="77777777" w:rsidR="00C21E1E" w:rsidRPr="00C21E1E" w:rsidRDefault="00C21E1E" w:rsidP="00C21E1E">
      <w:pPr>
        <w:pStyle w:val="DeptBullets"/>
        <w:numPr>
          <w:ilvl w:val="0"/>
          <w:numId w:val="0"/>
        </w:numPr>
        <w:spacing w:after="0"/>
        <w:ind w:left="360" w:hanging="360"/>
        <w:rPr>
          <w:rFonts w:ascii="Arial" w:hAnsi="Arial" w:cs="Arial"/>
        </w:rPr>
      </w:pPr>
      <w:r w:rsidRPr="00C21E1E">
        <w:rPr>
          <w:rFonts w:ascii="Arial" w:hAnsi="Arial" w:cs="Arial"/>
          <w:b/>
          <w:bCs/>
        </w:rPr>
        <w:t>*</w:t>
      </w:r>
      <w:r w:rsidRPr="00C21E1E">
        <w:rPr>
          <w:rFonts w:ascii="Arial" w:hAnsi="Arial" w:cs="Arial"/>
        </w:rPr>
        <w:t>Year 1 data is being used as year 2 data is unavailable.</w:t>
      </w:r>
    </w:p>
    <w:p w14:paraId="7736EFD3" w14:textId="77777777" w:rsidR="00C21E1E" w:rsidRPr="00C21E1E" w:rsidRDefault="00C21E1E" w:rsidP="00C21E1E">
      <w:pPr>
        <w:pStyle w:val="DeptBullets"/>
        <w:numPr>
          <w:ilvl w:val="0"/>
          <w:numId w:val="0"/>
        </w:numPr>
        <w:spacing w:after="0"/>
        <w:rPr>
          <w:rFonts w:ascii="Arial" w:hAnsi="Arial" w:cs="Arial"/>
          <w:b/>
          <w:bCs/>
        </w:rPr>
      </w:pPr>
    </w:p>
    <w:p w14:paraId="119B5CDE" w14:textId="77777777" w:rsidR="00C21E1E" w:rsidRPr="00C21E1E" w:rsidRDefault="00C21E1E" w:rsidP="00C21E1E">
      <w:pPr>
        <w:pStyle w:val="DeptBullets"/>
        <w:numPr>
          <w:ilvl w:val="0"/>
          <w:numId w:val="0"/>
        </w:numPr>
        <w:spacing w:after="0"/>
        <w:rPr>
          <w:rFonts w:ascii="Arial" w:hAnsi="Arial" w:cs="Arial"/>
          <w:b/>
          <w:bCs/>
        </w:rPr>
      </w:pPr>
    </w:p>
    <w:p w14:paraId="10467882" w14:textId="77777777" w:rsidR="00C21E1E" w:rsidRPr="00C21E1E" w:rsidRDefault="00C21E1E" w:rsidP="00C21E1E">
      <w:pPr>
        <w:pStyle w:val="DeptBullets"/>
        <w:numPr>
          <w:ilvl w:val="0"/>
          <w:numId w:val="0"/>
        </w:numPr>
        <w:spacing w:after="0"/>
        <w:rPr>
          <w:rFonts w:ascii="Arial" w:hAnsi="Arial" w:cs="Arial"/>
          <w:b/>
          <w:bCs/>
        </w:rPr>
      </w:pPr>
    </w:p>
    <w:p w14:paraId="7A89CE1E" w14:textId="77777777" w:rsidR="00C21E1E" w:rsidRPr="00C21E1E" w:rsidRDefault="00C21E1E" w:rsidP="00C21E1E">
      <w:pPr>
        <w:pStyle w:val="DeptBullets"/>
        <w:numPr>
          <w:ilvl w:val="0"/>
          <w:numId w:val="0"/>
        </w:numPr>
        <w:spacing w:after="0"/>
        <w:rPr>
          <w:rFonts w:ascii="Arial" w:hAnsi="Arial" w:cs="Arial"/>
          <w:b/>
          <w:bCs/>
        </w:rPr>
      </w:pPr>
    </w:p>
    <w:p w14:paraId="2D3B6774" w14:textId="77777777" w:rsidR="00C21E1E" w:rsidRPr="00C21E1E" w:rsidRDefault="00C21E1E" w:rsidP="00C21E1E">
      <w:pPr>
        <w:pStyle w:val="DeptBullets"/>
        <w:numPr>
          <w:ilvl w:val="0"/>
          <w:numId w:val="0"/>
        </w:numPr>
        <w:spacing w:after="0"/>
        <w:rPr>
          <w:rFonts w:ascii="Arial" w:hAnsi="Arial" w:cs="Arial"/>
          <w:b/>
          <w:bCs/>
        </w:rPr>
      </w:pPr>
    </w:p>
    <w:p w14:paraId="5AFCA10F" w14:textId="77777777" w:rsidR="00C21E1E" w:rsidRPr="00C21E1E" w:rsidRDefault="00C21E1E" w:rsidP="00C21E1E">
      <w:pPr>
        <w:pStyle w:val="DeptBullets"/>
        <w:numPr>
          <w:ilvl w:val="0"/>
          <w:numId w:val="0"/>
        </w:numPr>
        <w:spacing w:after="0"/>
        <w:rPr>
          <w:rFonts w:ascii="Arial" w:hAnsi="Arial" w:cs="Arial"/>
          <w:b/>
          <w:bCs/>
        </w:rPr>
      </w:pPr>
    </w:p>
    <w:p w14:paraId="28BBA713" w14:textId="77777777" w:rsidR="00C21E1E" w:rsidRPr="00C21E1E" w:rsidRDefault="00C21E1E" w:rsidP="00C21E1E">
      <w:pPr>
        <w:pStyle w:val="DeptBullets"/>
        <w:numPr>
          <w:ilvl w:val="0"/>
          <w:numId w:val="0"/>
        </w:numPr>
        <w:spacing w:after="0"/>
        <w:rPr>
          <w:rFonts w:ascii="Arial" w:hAnsi="Arial" w:cs="Arial"/>
          <w:b/>
          <w:bCs/>
        </w:rPr>
      </w:pPr>
      <w:r w:rsidRPr="00C21E1E">
        <w:rPr>
          <w:rFonts w:ascii="Arial" w:hAnsi="Arial" w:cs="Arial"/>
          <w:b/>
          <w:bCs/>
        </w:rPr>
        <w:lastRenderedPageBreak/>
        <w:t>Secondary schools - Lead School eligibility criteria.</w:t>
      </w:r>
    </w:p>
    <w:tbl>
      <w:tblPr>
        <w:tblStyle w:val="GridTable4-Accent1"/>
        <w:tblpPr w:leftFromText="180" w:rightFromText="180" w:vertAnchor="text" w:horzAnchor="page" w:tblpX="1054" w:tblpY="205"/>
        <w:tblW w:w="14170" w:type="dxa"/>
        <w:tblLayout w:type="fixed"/>
        <w:tblLook w:val="04A0" w:firstRow="1" w:lastRow="0" w:firstColumn="1" w:lastColumn="0" w:noHBand="0" w:noVBand="1"/>
      </w:tblPr>
      <w:tblGrid>
        <w:gridCol w:w="1276"/>
        <w:gridCol w:w="1275"/>
        <w:gridCol w:w="1134"/>
        <w:gridCol w:w="1134"/>
        <w:gridCol w:w="1134"/>
        <w:gridCol w:w="1134"/>
        <w:gridCol w:w="1207"/>
        <w:gridCol w:w="1199"/>
        <w:gridCol w:w="1134"/>
        <w:gridCol w:w="1134"/>
        <w:gridCol w:w="1134"/>
        <w:gridCol w:w="1275"/>
      </w:tblGrid>
      <w:tr w:rsidR="00C21E1E" w:rsidRPr="00C21E1E" w14:paraId="4EDAF812" w14:textId="77777777">
        <w:trPr>
          <w:cnfStyle w:val="100000000000" w:firstRow="1" w:lastRow="0" w:firstColumn="0" w:lastColumn="0" w:oddVBand="0" w:evenVBand="0" w:oddHBand="0"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8" w:space="0" w:color="auto"/>
            </w:tcBorders>
          </w:tcPr>
          <w:p w14:paraId="42054996" w14:textId="77777777" w:rsidR="00C21E1E" w:rsidRPr="00C21E1E" w:rsidRDefault="00C21E1E">
            <w:pPr>
              <w:pStyle w:val="DeptBullets"/>
              <w:numPr>
                <w:ilvl w:val="0"/>
                <w:numId w:val="0"/>
              </w:numPr>
              <w:spacing w:after="0"/>
              <w:rPr>
                <w:rFonts w:ascii="Arial" w:hAnsi="Arial" w:cs="Arial"/>
                <w:b w:val="0"/>
                <w:bCs w:val="0"/>
              </w:rPr>
            </w:pPr>
          </w:p>
        </w:tc>
        <w:tc>
          <w:tcPr>
            <w:tcW w:w="3543" w:type="dxa"/>
            <w:gridSpan w:val="3"/>
            <w:tcBorders>
              <w:top w:val="single" w:sz="4" w:space="0" w:color="auto"/>
              <w:left w:val="single" w:sz="8" w:space="0" w:color="auto"/>
              <w:bottom w:val="single" w:sz="4" w:space="0" w:color="auto"/>
              <w:right w:val="single" w:sz="8" w:space="0" w:color="auto"/>
            </w:tcBorders>
          </w:tcPr>
          <w:p w14:paraId="5FE4D67B"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Attainment in Maths </w:t>
            </w:r>
          </w:p>
        </w:tc>
        <w:tc>
          <w:tcPr>
            <w:tcW w:w="3475" w:type="dxa"/>
            <w:gridSpan w:val="3"/>
            <w:tcBorders>
              <w:top w:val="single" w:sz="4" w:space="0" w:color="auto"/>
              <w:left w:val="single" w:sz="8" w:space="0" w:color="auto"/>
              <w:bottom w:val="single" w:sz="4" w:space="0" w:color="auto"/>
              <w:right w:val="single" w:sz="8" w:space="0" w:color="auto"/>
            </w:tcBorders>
          </w:tcPr>
          <w:p w14:paraId="69052877"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Progress in Maths </w:t>
            </w:r>
          </w:p>
        </w:tc>
        <w:tc>
          <w:tcPr>
            <w:tcW w:w="3467" w:type="dxa"/>
            <w:gridSpan w:val="3"/>
            <w:tcBorders>
              <w:top w:val="nil"/>
              <w:left w:val="single" w:sz="8" w:space="0" w:color="auto"/>
              <w:bottom w:val="single" w:sz="4" w:space="0" w:color="auto"/>
              <w:right w:val="single" w:sz="4" w:space="0" w:color="auto"/>
            </w:tcBorders>
          </w:tcPr>
          <w:p w14:paraId="05EE39C5"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Progress in Maths for disadvantaged </w:t>
            </w:r>
          </w:p>
        </w:tc>
        <w:tc>
          <w:tcPr>
            <w:tcW w:w="2409" w:type="dxa"/>
            <w:gridSpan w:val="2"/>
            <w:tcBorders>
              <w:top w:val="single" w:sz="4" w:space="0" w:color="auto"/>
              <w:left w:val="single" w:sz="4" w:space="0" w:color="auto"/>
              <w:bottom w:val="single" w:sz="4" w:space="0" w:color="auto"/>
              <w:right w:val="single" w:sz="4" w:space="0" w:color="auto"/>
            </w:tcBorders>
          </w:tcPr>
          <w:p w14:paraId="1F2AFA8F"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EBacc entries above 45%</w:t>
            </w:r>
          </w:p>
        </w:tc>
      </w:tr>
      <w:tr w:rsidR="00C21E1E" w:rsidRPr="00C21E1E" w14:paraId="67A7C756" w14:textId="77777777">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8" w:space="0" w:color="auto"/>
            </w:tcBorders>
          </w:tcPr>
          <w:p w14:paraId="416BA640" w14:textId="77777777" w:rsidR="00C21E1E" w:rsidRPr="00C21E1E" w:rsidRDefault="00C21E1E">
            <w:pPr>
              <w:pStyle w:val="DeptBullets"/>
              <w:numPr>
                <w:ilvl w:val="0"/>
                <w:numId w:val="0"/>
              </w:numPr>
              <w:spacing w:after="0"/>
              <w:rPr>
                <w:rFonts w:ascii="Arial" w:hAnsi="Arial" w:cs="Arial"/>
              </w:rPr>
            </w:pPr>
          </w:p>
        </w:tc>
        <w:tc>
          <w:tcPr>
            <w:tcW w:w="3543" w:type="dxa"/>
            <w:gridSpan w:val="3"/>
            <w:tcBorders>
              <w:top w:val="single" w:sz="4" w:space="0" w:color="auto"/>
              <w:left w:val="single" w:sz="8" w:space="0" w:color="auto"/>
              <w:bottom w:val="single" w:sz="4" w:space="0" w:color="auto"/>
              <w:right w:val="single" w:sz="8" w:space="0" w:color="auto"/>
            </w:tcBorders>
          </w:tcPr>
          <w:p w14:paraId="59D5CBAD"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Higher than National Average in 2 of the last 3 years</w:t>
            </w:r>
          </w:p>
        </w:tc>
        <w:tc>
          <w:tcPr>
            <w:tcW w:w="6942" w:type="dxa"/>
            <w:gridSpan w:val="6"/>
            <w:tcBorders>
              <w:top w:val="single" w:sz="4" w:space="0" w:color="auto"/>
              <w:left w:val="single" w:sz="8" w:space="0" w:color="auto"/>
              <w:bottom w:val="single" w:sz="4" w:space="0" w:color="auto"/>
              <w:right w:val="single" w:sz="4" w:space="0" w:color="auto"/>
            </w:tcBorders>
          </w:tcPr>
          <w:p w14:paraId="79F3914C"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Must meet at least one of the above:</w:t>
            </w:r>
          </w:p>
          <w:p w14:paraId="101A0E91"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Higher than National Average in 2 of the last 3 years</w:t>
            </w:r>
          </w:p>
        </w:tc>
        <w:tc>
          <w:tcPr>
            <w:tcW w:w="2409" w:type="dxa"/>
            <w:gridSpan w:val="2"/>
            <w:tcBorders>
              <w:top w:val="single" w:sz="4" w:space="0" w:color="auto"/>
              <w:left w:val="single" w:sz="4" w:space="0" w:color="auto"/>
              <w:bottom w:val="single" w:sz="4" w:space="0" w:color="auto"/>
              <w:right w:val="single" w:sz="4" w:space="0" w:color="auto"/>
            </w:tcBorders>
          </w:tcPr>
          <w:p w14:paraId="52AD9130"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1 out of 2 previous years *</w:t>
            </w:r>
          </w:p>
        </w:tc>
      </w:tr>
      <w:tr w:rsidR="00C21E1E" w:rsidRPr="00C21E1E" w14:paraId="7A441818" w14:textId="77777777">
        <w:trPr>
          <w:trHeight w:val="427"/>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8" w:space="0" w:color="auto"/>
            </w:tcBorders>
            <w:vAlign w:val="center"/>
          </w:tcPr>
          <w:p w14:paraId="2A971379"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Year</w:t>
            </w:r>
          </w:p>
        </w:tc>
        <w:tc>
          <w:tcPr>
            <w:tcW w:w="1275" w:type="dxa"/>
            <w:tcBorders>
              <w:top w:val="single" w:sz="4" w:space="0" w:color="auto"/>
              <w:left w:val="single" w:sz="8" w:space="0" w:color="auto"/>
              <w:bottom w:val="single" w:sz="4" w:space="0" w:color="auto"/>
              <w:right w:val="single" w:sz="4" w:space="0" w:color="auto"/>
            </w:tcBorders>
            <w:vAlign w:val="center"/>
          </w:tcPr>
          <w:p w14:paraId="00D2CBA6"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tcBorders>
              <w:top w:val="single" w:sz="4" w:space="0" w:color="auto"/>
              <w:left w:val="single" w:sz="4" w:space="0" w:color="auto"/>
              <w:bottom w:val="single" w:sz="4" w:space="0" w:color="auto"/>
              <w:right w:val="single" w:sz="4" w:space="0" w:color="auto"/>
            </w:tcBorders>
            <w:vAlign w:val="center"/>
          </w:tcPr>
          <w:p w14:paraId="31DB45BE"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tcBorders>
              <w:top w:val="single" w:sz="4" w:space="0" w:color="auto"/>
              <w:left w:val="single" w:sz="4" w:space="0" w:color="auto"/>
              <w:bottom w:val="single" w:sz="4" w:space="0" w:color="auto"/>
              <w:right w:val="single" w:sz="8" w:space="0" w:color="auto"/>
            </w:tcBorders>
            <w:vAlign w:val="center"/>
          </w:tcPr>
          <w:p w14:paraId="440F6AD5"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34" w:type="dxa"/>
            <w:tcBorders>
              <w:top w:val="single" w:sz="4" w:space="0" w:color="auto"/>
              <w:left w:val="single" w:sz="8" w:space="0" w:color="auto"/>
              <w:bottom w:val="single" w:sz="4" w:space="0" w:color="auto"/>
              <w:right w:val="single" w:sz="4" w:space="0" w:color="auto"/>
            </w:tcBorders>
            <w:vAlign w:val="center"/>
          </w:tcPr>
          <w:p w14:paraId="1E82466F"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tcBorders>
              <w:top w:val="single" w:sz="4" w:space="0" w:color="auto"/>
              <w:left w:val="single" w:sz="4" w:space="0" w:color="auto"/>
              <w:bottom w:val="single" w:sz="4" w:space="0" w:color="auto"/>
              <w:right w:val="single" w:sz="4" w:space="0" w:color="auto"/>
            </w:tcBorders>
            <w:vAlign w:val="center"/>
          </w:tcPr>
          <w:p w14:paraId="06D4D26A"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207" w:type="dxa"/>
            <w:tcBorders>
              <w:top w:val="single" w:sz="4" w:space="0" w:color="auto"/>
              <w:left w:val="single" w:sz="4" w:space="0" w:color="auto"/>
              <w:bottom w:val="single" w:sz="4" w:space="0" w:color="auto"/>
              <w:right w:val="single" w:sz="8" w:space="0" w:color="auto"/>
            </w:tcBorders>
            <w:vAlign w:val="center"/>
          </w:tcPr>
          <w:p w14:paraId="2D98E7ED"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99" w:type="dxa"/>
            <w:tcBorders>
              <w:top w:val="single" w:sz="4" w:space="0" w:color="auto"/>
              <w:left w:val="single" w:sz="8" w:space="0" w:color="auto"/>
              <w:bottom w:val="single" w:sz="4" w:space="0" w:color="auto"/>
              <w:right w:val="single" w:sz="4" w:space="0" w:color="auto"/>
            </w:tcBorders>
            <w:vAlign w:val="center"/>
          </w:tcPr>
          <w:p w14:paraId="5E064A82"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tcBorders>
              <w:top w:val="single" w:sz="4" w:space="0" w:color="auto"/>
              <w:left w:val="single" w:sz="4" w:space="0" w:color="auto"/>
              <w:bottom w:val="single" w:sz="4" w:space="0" w:color="auto"/>
              <w:right w:val="single" w:sz="4" w:space="0" w:color="auto"/>
            </w:tcBorders>
            <w:vAlign w:val="center"/>
          </w:tcPr>
          <w:p w14:paraId="32654E25"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tcBorders>
              <w:top w:val="single" w:sz="4" w:space="0" w:color="auto"/>
              <w:left w:val="single" w:sz="4" w:space="0" w:color="auto"/>
              <w:bottom w:val="single" w:sz="4" w:space="0" w:color="auto"/>
              <w:right w:val="single" w:sz="4" w:space="0" w:color="auto"/>
            </w:tcBorders>
            <w:vAlign w:val="center"/>
          </w:tcPr>
          <w:p w14:paraId="7373B103"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34" w:type="dxa"/>
            <w:tcBorders>
              <w:top w:val="single" w:sz="4" w:space="0" w:color="auto"/>
              <w:left w:val="single" w:sz="4" w:space="0" w:color="auto"/>
              <w:bottom w:val="single" w:sz="4" w:space="0" w:color="auto"/>
              <w:right w:val="single" w:sz="4" w:space="0" w:color="auto"/>
            </w:tcBorders>
            <w:vAlign w:val="center"/>
          </w:tcPr>
          <w:p w14:paraId="385ABC8C"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2020/21</w:t>
            </w:r>
          </w:p>
        </w:tc>
        <w:tc>
          <w:tcPr>
            <w:tcW w:w="1275" w:type="dxa"/>
            <w:tcBorders>
              <w:top w:val="single" w:sz="4" w:space="0" w:color="auto"/>
              <w:left w:val="single" w:sz="4" w:space="0" w:color="auto"/>
              <w:bottom w:val="single" w:sz="4" w:space="0" w:color="auto"/>
              <w:right w:val="single" w:sz="4" w:space="0" w:color="auto"/>
            </w:tcBorders>
            <w:vAlign w:val="center"/>
          </w:tcPr>
          <w:p w14:paraId="0C001576" w14:textId="77777777" w:rsidR="00C21E1E" w:rsidRPr="00C21E1E" w:rsidRDefault="00C21E1E">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r>
      <w:tr w:rsidR="003C2F6F" w:rsidRPr="00C21E1E" w14:paraId="3459A7D0" w14:textId="77777777">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8" w:space="0" w:color="auto"/>
            </w:tcBorders>
          </w:tcPr>
          <w:p w14:paraId="215D54D2"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National Average</w:t>
            </w:r>
          </w:p>
        </w:tc>
        <w:tc>
          <w:tcPr>
            <w:tcW w:w="1275" w:type="dxa"/>
            <w:tcBorders>
              <w:top w:val="single" w:sz="4" w:space="0" w:color="auto"/>
              <w:left w:val="single" w:sz="8" w:space="0" w:color="auto"/>
              <w:bottom w:val="single" w:sz="4" w:space="0" w:color="auto"/>
              <w:right w:val="single" w:sz="4" w:space="0" w:color="auto"/>
            </w:tcBorders>
            <w:vAlign w:val="center"/>
          </w:tcPr>
          <w:p w14:paraId="148BB8C2"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69.5%</w:t>
            </w:r>
          </w:p>
        </w:tc>
        <w:tc>
          <w:tcPr>
            <w:tcW w:w="1134" w:type="dxa"/>
            <w:tcBorders>
              <w:top w:val="single" w:sz="4" w:space="0" w:color="auto"/>
              <w:left w:val="single" w:sz="4" w:space="0" w:color="auto"/>
              <w:bottom w:val="single" w:sz="4" w:space="0" w:color="auto"/>
              <w:right w:val="single" w:sz="4" w:space="0" w:color="auto"/>
            </w:tcBorders>
            <w:vAlign w:val="center"/>
          </w:tcPr>
          <w:p w14:paraId="4F3BB45B"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70%</w:t>
            </w:r>
          </w:p>
        </w:tc>
        <w:tc>
          <w:tcPr>
            <w:tcW w:w="1134" w:type="dxa"/>
            <w:tcBorders>
              <w:top w:val="single" w:sz="4" w:space="0" w:color="auto"/>
              <w:left w:val="single" w:sz="4" w:space="0" w:color="auto"/>
              <w:bottom w:val="single" w:sz="4" w:space="0" w:color="auto"/>
              <w:right w:val="single" w:sz="8" w:space="0" w:color="auto"/>
            </w:tcBorders>
            <w:vAlign w:val="center"/>
          </w:tcPr>
          <w:p w14:paraId="4082E4A5"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75.1%</w:t>
            </w:r>
          </w:p>
        </w:tc>
        <w:tc>
          <w:tcPr>
            <w:tcW w:w="1134" w:type="dxa"/>
            <w:tcBorders>
              <w:top w:val="single" w:sz="4" w:space="0" w:color="auto"/>
              <w:left w:val="single" w:sz="8" w:space="0" w:color="auto"/>
              <w:bottom w:val="single" w:sz="4" w:space="0" w:color="auto"/>
              <w:right w:val="single" w:sz="4" w:space="0" w:color="auto"/>
            </w:tcBorders>
            <w:vAlign w:val="center"/>
          </w:tcPr>
          <w:p w14:paraId="788A62C2"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-0.02</w:t>
            </w:r>
          </w:p>
        </w:tc>
        <w:tc>
          <w:tcPr>
            <w:tcW w:w="1134" w:type="dxa"/>
            <w:tcBorders>
              <w:top w:val="single" w:sz="4" w:space="0" w:color="auto"/>
              <w:left w:val="single" w:sz="4" w:space="0" w:color="auto"/>
              <w:bottom w:val="single" w:sz="4" w:space="0" w:color="auto"/>
              <w:right w:val="single" w:sz="4" w:space="0" w:color="auto"/>
            </w:tcBorders>
            <w:vAlign w:val="center"/>
          </w:tcPr>
          <w:p w14:paraId="6FFB9DFE"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-0.02</w:t>
            </w:r>
          </w:p>
        </w:tc>
        <w:tc>
          <w:tcPr>
            <w:tcW w:w="1207" w:type="dxa"/>
            <w:tcBorders>
              <w:top w:val="single" w:sz="4" w:space="0" w:color="auto"/>
              <w:left w:val="single" w:sz="4" w:space="0" w:color="auto"/>
              <w:bottom w:val="single" w:sz="4" w:space="0" w:color="auto"/>
              <w:right w:val="single" w:sz="8" w:space="0" w:color="auto"/>
            </w:tcBorders>
            <w:vAlign w:val="center"/>
          </w:tcPr>
          <w:p w14:paraId="22E8FA4F"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-0.03</w:t>
            </w:r>
          </w:p>
        </w:tc>
        <w:tc>
          <w:tcPr>
            <w:tcW w:w="1199" w:type="dxa"/>
            <w:tcBorders>
              <w:top w:val="single" w:sz="4" w:space="0" w:color="auto"/>
              <w:left w:val="single" w:sz="8" w:space="0" w:color="auto"/>
              <w:bottom w:val="single" w:sz="4" w:space="0" w:color="auto"/>
              <w:right w:val="single" w:sz="4" w:space="0" w:color="auto"/>
            </w:tcBorders>
            <w:vAlign w:val="center"/>
          </w:tcPr>
          <w:p w14:paraId="5ED764DD"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-0.39</w:t>
            </w:r>
          </w:p>
        </w:tc>
        <w:tc>
          <w:tcPr>
            <w:tcW w:w="1134" w:type="dxa"/>
            <w:tcBorders>
              <w:top w:val="single" w:sz="4" w:space="0" w:color="auto"/>
              <w:left w:val="single" w:sz="4" w:space="0" w:color="auto"/>
              <w:bottom w:val="single" w:sz="4" w:space="0" w:color="auto"/>
              <w:right w:val="single" w:sz="4" w:space="0" w:color="auto"/>
            </w:tcBorders>
            <w:vAlign w:val="center"/>
          </w:tcPr>
          <w:p w14:paraId="08456D05"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-0.39</w:t>
            </w:r>
          </w:p>
        </w:tc>
        <w:tc>
          <w:tcPr>
            <w:tcW w:w="1134" w:type="dxa"/>
            <w:tcBorders>
              <w:top w:val="single" w:sz="4" w:space="0" w:color="auto"/>
              <w:left w:val="single" w:sz="4" w:space="0" w:color="auto"/>
              <w:bottom w:val="single" w:sz="4" w:space="0" w:color="auto"/>
              <w:right w:val="single" w:sz="4" w:space="0" w:color="auto"/>
            </w:tcBorders>
            <w:vAlign w:val="center"/>
          </w:tcPr>
          <w:p w14:paraId="6A742085"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-0.49</w:t>
            </w:r>
          </w:p>
        </w:tc>
        <w:tc>
          <w:tcPr>
            <w:tcW w:w="1134" w:type="dxa"/>
            <w:tcBorders>
              <w:top w:val="single" w:sz="4" w:space="0" w:color="auto"/>
              <w:left w:val="single" w:sz="4" w:space="0" w:color="auto"/>
              <w:bottom w:val="single" w:sz="4" w:space="0" w:color="auto"/>
              <w:right w:val="single" w:sz="4" w:space="0" w:color="auto"/>
            </w:tcBorders>
            <w:vAlign w:val="center"/>
          </w:tcPr>
          <w:p w14:paraId="04108801"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38.7%</w:t>
            </w:r>
          </w:p>
        </w:tc>
        <w:tc>
          <w:tcPr>
            <w:tcW w:w="1275" w:type="dxa"/>
            <w:tcBorders>
              <w:top w:val="single" w:sz="4" w:space="0" w:color="auto"/>
              <w:left w:val="single" w:sz="4" w:space="0" w:color="auto"/>
              <w:bottom w:val="single" w:sz="4" w:space="0" w:color="auto"/>
              <w:right w:val="single" w:sz="4" w:space="0" w:color="auto"/>
            </w:tcBorders>
            <w:vAlign w:val="center"/>
          </w:tcPr>
          <w:p w14:paraId="093E413E" w14:textId="77777777" w:rsidR="00C21E1E" w:rsidRPr="00C21E1E" w:rsidRDefault="00C21E1E">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39%</w:t>
            </w:r>
          </w:p>
        </w:tc>
      </w:tr>
      <w:tr w:rsidR="00C21E1E" w:rsidRPr="00C21E1E" w14:paraId="40AC996B" w14:textId="77777777">
        <w:trPr>
          <w:trHeight w:val="358"/>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left w:val="single" w:sz="4" w:space="0" w:color="auto"/>
              <w:bottom w:val="single" w:sz="4" w:space="0" w:color="auto"/>
              <w:right w:val="single" w:sz="8" w:space="0" w:color="auto"/>
            </w:tcBorders>
          </w:tcPr>
          <w:p w14:paraId="6E87AA8E" w14:textId="77777777" w:rsidR="00C21E1E" w:rsidRPr="00C21E1E" w:rsidRDefault="00C21E1E">
            <w:pPr>
              <w:pStyle w:val="DeptBullets"/>
              <w:numPr>
                <w:ilvl w:val="0"/>
                <w:numId w:val="0"/>
              </w:numPr>
              <w:spacing w:after="0"/>
              <w:rPr>
                <w:rFonts w:ascii="Arial" w:hAnsi="Arial" w:cs="Arial"/>
              </w:rPr>
            </w:pPr>
            <w:r w:rsidRPr="00C21E1E">
              <w:rPr>
                <w:rFonts w:ascii="Arial" w:hAnsi="Arial" w:cs="Arial"/>
              </w:rPr>
              <w:t>Yes</w:t>
            </w:r>
          </w:p>
        </w:tc>
        <w:tc>
          <w:tcPr>
            <w:tcW w:w="1275" w:type="dxa"/>
            <w:tcBorders>
              <w:top w:val="single" w:sz="4" w:space="0" w:color="auto"/>
              <w:left w:val="single" w:sz="8" w:space="0" w:color="auto"/>
              <w:bottom w:val="single" w:sz="4" w:space="0" w:color="auto"/>
              <w:right w:val="single" w:sz="4" w:space="0" w:color="auto"/>
            </w:tcBorders>
          </w:tcPr>
          <w:p w14:paraId="65A6FB2D"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1FED546"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8" w:space="0" w:color="auto"/>
            </w:tcBorders>
          </w:tcPr>
          <w:p w14:paraId="3848B5CC"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8" w:space="0" w:color="auto"/>
              <w:bottom w:val="single" w:sz="4" w:space="0" w:color="auto"/>
              <w:right w:val="single" w:sz="4" w:space="0" w:color="auto"/>
            </w:tcBorders>
          </w:tcPr>
          <w:p w14:paraId="58732501"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545F85A8"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07" w:type="dxa"/>
            <w:tcBorders>
              <w:top w:val="single" w:sz="4" w:space="0" w:color="auto"/>
              <w:left w:val="single" w:sz="4" w:space="0" w:color="auto"/>
              <w:bottom w:val="single" w:sz="4" w:space="0" w:color="auto"/>
              <w:right w:val="single" w:sz="8" w:space="0" w:color="auto"/>
            </w:tcBorders>
          </w:tcPr>
          <w:p w14:paraId="6F976641"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99" w:type="dxa"/>
            <w:tcBorders>
              <w:top w:val="single" w:sz="4" w:space="0" w:color="auto"/>
              <w:left w:val="single" w:sz="8" w:space="0" w:color="auto"/>
              <w:bottom w:val="single" w:sz="4" w:space="0" w:color="auto"/>
              <w:right w:val="single" w:sz="4" w:space="0" w:color="auto"/>
            </w:tcBorders>
          </w:tcPr>
          <w:p w14:paraId="1E3ABEDB"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EB8991F"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1AD711A1"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7CC1F62"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5" w:type="dxa"/>
            <w:tcBorders>
              <w:top w:val="single" w:sz="4" w:space="0" w:color="auto"/>
              <w:left w:val="single" w:sz="4" w:space="0" w:color="auto"/>
              <w:bottom w:val="single" w:sz="4" w:space="0" w:color="auto"/>
              <w:right w:val="single" w:sz="4" w:space="0" w:color="auto"/>
            </w:tcBorders>
          </w:tcPr>
          <w:p w14:paraId="7CDCE0E5" w14:textId="77777777" w:rsidR="00C21E1E" w:rsidRPr="00C21E1E" w:rsidRDefault="00C21E1E">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7BCE909" w14:textId="49DBFCC6" w:rsidR="00C21E1E" w:rsidRPr="008E268B" w:rsidRDefault="00C21E1E" w:rsidP="00C21E1E">
      <w:pPr>
        <w:pStyle w:val="DeptBullets"/>
        <w:numPr>
          <w:ilvl w:val="0"/>
          <w:numId w:val="0"/>
        </w:numPr>
        <w:spacing w:after="0"/>
        <w:rPr>
          <w:rFonts w:ascii="Arial" w:hAnsi="Arial" w:cs="Arial"/>
          <w:i/>
          <w:iCs/>
        </w:rPr>
      </w:pPr>
      <w:r w:rsidRPr="00C21E1E">
        <w:rPr>
          <w:rFonts w:ascii="Arial" w:hAnsi="Arial" w:cs="Arial"/>
          <w:b/>
          <w:bCs/>
        </w:rPr>
        <w:t>*</w:t>
      </w:r>
      <w:r w:rsidRPr="00C21E1E">
        <w:rPr>
          <w:rFonts w:ascii="Arial" w:hAnsi="Arial" w:cs="Arial"/>
          <w:i/>
          <w:iCs/>
        </w:rPr>
        <w:t xml:space="preserve"> If you know your 2023 EBacc entries meet this criterion, please provide evidence for consideration as part of your application. </w:t>
      </w:r>
    </w:p>
    <w:p w14:paraId="4544C394" w14:textId="77777777" w:rsidR="00C21E1E" w:rsidRPr="00C21E1E" w:rsidRDefault="00C21E1E" w:rsidP="00C21E1E">
      <w:pPr>
        <w:pStyle w:val="DeptBullets"/>
        <w:numPr>
          <w:ilvl w:val="0"/>
          <w:numId w:val="0"/>
        </w:numPr>
        <w:spacing w:after="0"/>
        <w:rPr>
          <w:rFonts w:ascii="Arial" w:hAnsi="Arial" w:cs="Arial"/>
          <w:b/>
          <w:bCs/>
        </w:rPr>
      </w:pPr>
    </w:p>
    <w:p w14:paraId="7A0FDF47" w14:textId="77777777" w:rsidR="00C21E1E" w:rsidRPr="00C21E1E" w:rsidRDefault="00C21E1E" w:rsidP="00C21E1E">
      <w:pPr>
        <w:pStyle w:val="DeptBullets"/>
        <w:numPr>
          <w:ilvl w:val="0"/>
          <w:numId w:val="0"/>
        </w:numPr>
        <w:spacing w:after="0"/>
        <w:rPr>
          <w:rFonts w:ascii="Arial" w:hAnsi="Arial" w:cs="Arial"/>
          <w:b/>
          <w:bCs/>
        </w:rPr>
      </w:pPr>
      <w:r w:rsidRPr="00C21E1E">
        <w:rPr>
          <w:rFonts w:ascii="Arial" w:hAnsi="Arial" w:cs="Arial"/>
          <w:b/>
          <w:bCs/>
        </w:rPr>
        <w:t xml:space="preserve">Post 16 institutions - Lead School eligibility criteria. </w:t>
      </w:r>
      <w:r w:rsidRPr="00C21E1E">
        <w:rPr>
          <w:rFonts w:ascii="Arial" w:hAnsi="Arial" w:cs="Arial"/>
        </w:rPr>
        <w:t>(</w:t>
      </w:r>
      <w:proofErr w:type="gramStart"/>
      <w:r w:rsidRPr="00C21E1E">
        <w:rPr>
          <w:rFonts w:ascii="Arial" w:hAnsi="Arial" w:cs="Arial"/>
        </w:rPr>
        <w:t>applied</w:t>
      </w:r>
      <w:proofErr w:type="gramEnd"/>
      <w:r w:rsidRPr="00C21E1E">
        <w:rPr>
          <w:rFonts w:ascii="Arial" w:hAnsi="Arial" w:cs="Arial"/>
        </w:rPr>
        <w:t xml:space="preserve"> to providers who offer exclusively 16-19)</w:t>
      </w:r>
    </w:p>
    <w:p w14:paraId="4DF590D1" w14:textId="77777777" w:rsidR="00C21E1E" w:rsidRPr="00C21E1E" w:rsidRDefault="00C21E1E" w:rsidP="00C21E1E">
      <w:pPr>
        <w:pStyle w:val="DeptBullets"/>
        <w:numPr>
          <w:ilvl w:val="0"/>
          <w:numId w:val="0"/>
        </w:numPr>
        <w:spacing w:after="0"/>
        <w:rPr>
          <w:rFonts w:ascii="Arial" w:hAnsi="Arial" w:cs="Arial"/>
        </w:rPr>
      </w:pPr>
    </w:p>
    <w:tbl>
      <w:tblPr>
        <w:tblStyle w:val="GridTable4-Accent1"/>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24"/>
        <w:gridCol w:w="1123"/>
        <w:gridCol w:w="1134"/>
        <w:gridCol w:w="1134"/>
        <w:gridCol w:w="1134"/>
        <w:gridCol w:w="1134"/>
        <w:gridCol w:w="1134"/>
        <w:gridCol w:w="1276"/>
        <w:gridCol w:w="1275"/>
        <w:gridCol w:w="1276"/>
        <w:gridCol w:w="2552"/>
      </w:tblGrid>
      <w:tr w:rsidR="00C21E1E" w:rsidRPr="00C21E1E" w14:paraId="53AA1E99" w14:textId="77777777">
        <w:trPr>
          <w:cnfStyle w:val="100000000000" w:firstRow="1" w:lastRow="0" w:firstColumn="0" w:lastColumn="0" w:oddVBand="0" w:evenVBand="0" w:oddHBand="0" w:evenHBand="0" w:firstRowFirstColumn="0" w:firstRowLastColumn="0" w:lastRowFirstColumn="0" w:lastRowLastColumn="0"/>
          <w:trHeight w:val="536"/>
          <w:jc w:val="center"/>
        </w:trPr>
        <w:tc>
          <w:tcPr>
            <w:cnfStyle w:val="001000000000" w:firstRow="0" w:lastRow="0" w:firstColumn="1" w:lastColumn="0" w:oddVBand="0" w:evenVBand="0" w:oddHBand="0" w:evenHBand="0" w:firstRowFirstColumn="0" w:firstRowLastColumn="0" w:lastRowFirstColumn="0" w:lastRowLastColumn="0"/>
            <w:tcW w:w="1424" w:type="dxa"/>
            <w:tcBorders>
              <w:right w:val="single" w:sz="8" w:space="0" w:color="auto"/>
            </w:tcBorders>
          </w:tcPr>
          <w:p w14:paraId="60C17CAA" w14:textId="77777777" w:rsidR="00C21E1E" w:rsidRPr="00C21E1E" w:rsidRDefault="00C21E1E">
            <w:pPr>
              <w:pStyle w:val="DeptBullets"/>
              <w:numPr>
                <w:ilvl w:val="0"/>
                <w:numId w:val="0"/>
              </w:numPr>
              <w:spacing w:after="0"/>
              <w:rPr>
                <w:rFonts w:ascii="Arial" w:hAnsi="Arial" w:cs="Arial"/>
                <w:b w:val="0"/>
                <w:bCs w:val="0"/>
              </w:rPr>
            </w:pPr>
          </w:p>
        </w:tc>
        <w:tc>
          <w:tcPr>
            <w:tcW w:w="3391" w:type="dxa"/>
            <w:gridSpan w:val="3"/>
            <w:tcBorders>
              <w:left w:val="single" w:sz="8" w:space="0" w:color="auto"/>
              <w:right w:val="single" w:sz="8" w:space="0" w:color="auto"/>
            </w:tcBorders>
          </w:tcPr>
          <w:p w14:paraId="79D85E52"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 xml:space="preserve">Percentage achieved A-C in </w:t>
            </w:r>
          </w:p>
          <w:p w14:paraId="7CA76473"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A level Maths</w:t>
            </w:r>
          </w:p>
        </w:tc>
        <w:tc>
          <w:tcPr>
            <w:tcW w:w="3402" w:type="dxa"/>
            <w:gridSpan w:val="3"/>
            <w:tcBorders>
              <w:left w:val="single" w:sz="8" w:space="0" w:color="auto"/>
              <w:right w:val="single" w:sz="8" w:space="0" w:color="auto"/>
            </w:tcBorders>
          </w:tcPr>
          <w:p w14:paraId="3CC588F0"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Percentage achieved A-C</w:t>
            </w:r>
          </w:p>
          <w:p w14:paraId="01232E17"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A level Further Maths</w:t>
            </w:r>
          </w:p>
        </w:tc>
        <w:tc>
          <w:tcPr>
            <w:tcW w:w="3827" w:type="dxa"/>
            <w:gridSpan w:val="3"/>
            <w:tcBorders>
              <w:left w:val="single" w:sz="8" w:space="0" w:color="auto"/>
              <w:right w:val="single" w:sz="8" w:space="0" w:color="auto"/>
            </w:tcBorders>
          </w:tcPr>
          <w:p w14:paraId="3DABE619" w14:textId="77777777" w:rsidR="00C21E1E" w:rsidRPr="00C21E1E" w:rsidRDefault="00C21E1E">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Percentage Achieved A-C in Core Maths*</w:t>
            </w:r>
          </w:p>
        </w:tc>
        <w:tc>
          <w:tcPr>
            <w:tcW w:w="2552" w:type="dxa"/>
            <w:tcBorders>
              <w:left w:val="single" w:sz="8" w:space="0" w:color="auto"/>
            </w:tcBorders>
          </w:tcPr>
          <w:p w14:paraId="06A71A57" w14:textId="47B9E0F3" w:rsidR="00C21E1E" w:rsidRPr="00C21E1E" w:rsidRDefault="007914AB">
            <w:pPr>
              <w:pStyle w:val="DeptBullets"/>
              <w:numPr>
                <w:ilvl w:val="0"/>
                <w:numId w:val="0"/>
              </w:num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Combined entry volume of 115 students for A Level </w:t>
            </w:r>
            <w:r w:rsidR="008E268B">
              <w:rPr>
                <w:rFonts w:ascii="Arial" w:hAnsi="Arial" w:cs="Arial"/>
              </w:rPr>
              <w:t>and/or Core Maths</w:t>
            </w:r>
          </w:p>
        </w:tc>
      </w:tr>
      <w:tr w:rsidR="00B84879" w:rsidRPr="00C21E1E" w14:paraId="1A1D1CAA" w14:textId="77777777" w:rsidTr="00B84879">
        <w:trPr>
          <w:cnfStyle w:val="000000100000" w:firstRow="0" w:lastRow="0" w:firstColumn="0" w:lastColumn="0" w:oddVBand="0" w:evenVBand="0" w:oddHBand="1" w:evenHBand="0" w:firstRowFirstColumn="0" w:firstRowLastColumn="0" w:lastRowFirstColumn="0" w:lastRowLastColumn="0"/>
          <w:trHeight w:val="306"/>
          <w:jc w:val="center"/>
        </w:trPr>
        <w:tc>
          <w:tcPr>
            <w:cnfStyle w:val="001000000000" w:firstRow="0" w:lastRow="0" w:firstColumn="1" w:lastColumn="0" w:oddVBand="0" w:evenVBand="0" w:oddHBand="0" w:evenHBand="0" w:firstRowFirstColumn="0" w:firstRowLastColumn="0" w:lastRowFirstColumn="0" w:lastRowLastColumn="0"/>
            <w:tcW w:w="1424" w:type="dxa"/>
            <w:tcBorders>
              <w:right w:val="single" w:sz="8" w:space="0" w:color="auto"/>
            </w:tcBorders>
          </w:tcPr>
          <w:p w14:paraId="4064A6C1" w14:textId="77777777" w:rsidR="00B84879" w:rsidRPr="00C21E1E" w:rsidRDefault="00B84879">
            <w:pPr>
              <w:pStyle w:val="DeptBullets"/>
              <w:numPr>
                <w:ilvl w:val="0"/>
                <w:numId w:val="0"/>
              </w:numPr>
              <w:spacing w:after="0"/>
              <w:rPr>
                <w:rFonts w:ascii="Arial" w:hAnsi="Arial" w:cs="Arial"/>
              </w:rPr>
            </w:pPr>
          </w:p>
        </w:tc>
        <w:tc>
          <w:tcPr>
            <w:tcW w:w="3391" w:type="dxa"/>
            <w:gridSpan w:val="3"/>
            <w:tcBorders>
              <w:left w:val="single" w:sz="8" w:space="0" w:color="auto"/>
              <w:right w:val="single" w:sz="8" w:space="0" w:color="auto"/>
            </w:tcBorders>
          </w:tcPr>
          <w:p w14:paraId="705E056A" w14:textId="77777777" w:rsidR="00B84879" w:rsidRPr="00C21E1E" w:rsidRDefault="00B84879">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Higher than national average in 2 of the last 3 years</w:t>
            </w:r>
          </w:p>
        </w:tc>
        <w:tc>
          <w:tcPr>
            <w:tcW w:w="7229" w:type="dxa"/>
            <w:gridSpan w:val="6"/>
            <w:tcBorders>
              <w:left w:val="single" w:sz="8" w:space="0" w:color="auto"/>
            </w:tcBorders>
            <w:vAlign w:val="center"/>
          </w:tcPr>
          <w:p w14:paraId="5026BF40" w14:textId="77777777" w:rsidR="00B84879" w:rsidRPr="00C21E1E" w:rsidRDefault="00B84879">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Above National Average in two of the past three years for at least one of the following:</w:t>
            </w:r>
          </w:p>
        </w:tc>
        <w:tc>
          <w:tcPr>
            <w:tcW w:w="2552" w:type="dxa"/>
            <w:tcBorders>
              <w:left w:val="single" w:sz="8" w:space="0" w:color="auto"/>
            </w:tcBorders>
            <w:vAlign w:val="center"/>
          </w:tcPr>
          <w:p w14:paraId="6202A266" w14:textId="2A606C48" w:rsidR="00B84879" w:rsidRPr="00C21E1E" w:rsidRDefault="00B84879">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402805" w:rsidRPr="00C21E1E" w14:paraId="24648738" w14:textId="77777777">
        <w:trPr>
          <w:trHeight w:val="449"/>
          <w:jc w:val="center"/>
        </w:trPr>
        <w:tc>
          <w:tcPr>
            <w:cnfStyle w:val="001000000000" w:firstRow="0" w:lastRow="0" w:firstColumn="1" w:lastColumn="0" w:oddVBand="0" w:evenVBand="0" w:oddHBand="0" w:evenHBand="0" w:firstRowFirstColumn="0" w:firstRowLastColumn="0" w:lastRowFirstColumn="0" w:lastRowLastColumn="0"/>
            <w:tcW w:w="1424" w:type="dxa"/>
            <w:tcBorders>
              <w:right w:val="single" w:sz="8" w:space="0" w:color="auto"/>
            </w:tcBorders>
            <w:vAlign w:val="center"/>
          </w:tcPr>
          <w:p w14:paraId="69E17807" w14:textId="77777777" w:rsidR="00402805" w:rsidRPr="00C21E1E" w:rsidRDefault="00402805">
            <w:pPr>
              <w:pStyle w:val="DeptBullets"/>
              <w:numPr>
                <w:ilvl w:val="0"/>
                <w:numId w:val="0"/>
              </w:numPr>
              <w:spacing w:after="0"/>
              <w:rPr>
                <w:rFonts w:ascii="Arial" w:hAnsi="Arial" w:cs="Arial"/>
              </w:rPr>
            </w:pPr>
            <w:r w:rsidRPr="00C21E1E">
              <w:rPr>
                <w:rFonts w:ascii="Arial" w:hAnsi="Arial" w:cs="Arial"/>
              </w:rPr>
              <w:t xml:space="preserve">Year </w:t>
            </w:r>
          </w:p>
        </w:tc>
        <w:tc>
          <w:tcPr>
            <w:tcW w:w="1123" w:type="dxa"/>
            <w:tcBorders>
              <w:left w:val="single" w:sz="8" w:space="0" w:color="auto"/>
            </w:tcBorders>
            <w:vAlign w:val="center"/>
          </w:tcPr>
          <w:p w14:paraId="09C68F52"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vAlign w:val="center"/>
          </w:tcPr>
          <w:p w14:paraId="2174EA0C"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tcBorders>
              <w:right w:val="single" w:sz="8" w:space="0" w:color="auto"/>
            </w:tcBorders>
            <w:vAlign w:val="center"/>
          </w:tcPr>
          <w:p w14:paraId="1D439D1D"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134" w:type="dxa"/>
            <w:tcBorders>
              <w:left w:val="single" w:sz="8" w:space="0" w:color="auto"/>
            </w:tcBorders>
            <w:vAlign w:val="center"/>
          </w:tcPr>
          <w:p w14:paraId="45EF1157"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2017/18</w:t>
            </w:r>
          </w:p>
        </w:tc>
        <w:tc>
          <w:tcPr>
            <w:tcW w:w="1134" w:type="dxa"/>
            <w:vAlign w:val="center"/>
          </w:tcPr>
          <w:p w14:paraId="7F790C18"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134" w:type="dxa"/>
            <w:tcBorders>
              <w:right w:val="single" w:sz="8" w:space="0" w:color="auto"/>
            </w:tcBorders>
            <w:vAlign w:val="center"/>
          </w:tcPr>
          <w:p w14:paraId="61D1FE96"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1276" w:type="dxa"/>
            <w:tcBorders>
              <w:left w:val="single" w:sz="8" w:space="0" w:color="auto"/>
            </w:tcBorders>
            <w:vAlign w:val="center"/>
          </w:tcPr>
          <w:p w14:paraId="5020A2B9"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2018/19</w:t>
            </w:r>
          </w:p>
        </w:tc>
        <w:tc>
          <w:tcPr>
            <w:tcW w:w="1275" w:type="dxa"/>
            <w:vAlign w:val="center"/>
          </w:tcPr>
          <w:p w14:paraId="0F0F7212"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2019/20</w:t>
            </w:r>
          </w:p>
        </w:tc>
        <w:tc>
          <w:tcPr>
            <w:tcW w:w="1276" w:type="dxa"/>
            <w:tcBorders>
              <w:right w:val="single" w:sz="8" w:space="0" w:color="auto"/>
            </w:tcBorders>
            <w:vAlign w:val="center"/>
          </w:tcPr>
          <w:p w14:paraId="5E97CE5D" w14:textId="77777777" w:rsidR="00402805" w:rsidRPr="00C21E1E" w:rsidRDefault="00402805">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C21E1E">
              <w:rPr>
                <w:rFonts w:ascii="Arial" w:hAnsi="Arial" w:cs="Arial"/>
              </w:rPr>
              <w:t>2021/22</w:t>
            </w:r>
          </w:p>
        </w:tc>
        <w:tc>
          <w:tcPr>
            <w:tcW w:w="2552" w:type="dxa"/>
            <w:tcBorders>
              <w:left w:val="single" w:sz="8" w:space="0" w:color="auto"/>
            </w:tcBorders>
            <w:vAlign w:val="center"/>
          </w:tcPr>
          <w:p w14:paraId="7C88BA6B" w14:textId="2FBC0488" w:rsidR="00402805" w:rsidRPr="00C21E1E" w:rsidRDefault="008A6F06" w:rsidP="0099312B">
            <w:pPr>
              <w:pStyle w:val="DeptBullets"/>
              <w:numPr>
                <w:ilvl w:val="0"/>
                <w:numId w:val="0"/>
              </w:num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2022</w:t>
            </w:r>
            <w:r w:rsidR="0099312B">
              <w:rPr>
                <w:rFonts w:ascii="Arial" w:hAnsi="Arial" w:cs="Arial"/>
              </w:rPr>
              <w:t>/23</w:t>
            </w:r>
          </w:p>
        </w:tc>
      </w:tr>
      <w:tr w:rsidR="00402805" w:rsidRPr="00C21E1E" w14:paraId="1C305ED2" w14:textId="77777777">
        <w:trPr>
          <w:cnfStyle w:val="000000100000" w:firstRow="0" w:lastRow="0" w:firstColumn="0" w:lastColumn="0" w:oddVBand="0" w:evenVBand="0" w:oddHBand="1" w:evenHBand="0" w:firstRowFirstColumn="0" w:firstRowLastColumn="0" w:lastRowFirstColumn="0" w:lastRowLastColumn="0"/>
          <w:trHeight w:val="594"/>
          <w:jc w:val="center"/>
        </w:trPr>
        <w:tc>
          <w:tcPr>
            <w:cnfStyle w:val="001000000000" w:firstRow="0" w:lastRow="0" w:firstColumn="1" w:lastColumn="0" w:oddVBand="0" w:evenVBand="0" w:oddHBand="0" w:evenHBand="0" w:firstRowFirstColumn="0" w:firstRowLastColumn="0" w:lastRowFirstColumn="0" w:lastRowLastColumn="0"/>
            <w:tcW w:w="1424" w:type="dxa"/>
            <w:tcBorders>
              <w:right w:val="single" w:sz="8" w:space="0" w:color="auto"/>
            </w:tcBorders>
          </w:tcPr>
          <w:p w14:paraId="3FA44763" w14:textId="77777777" w:rsidR="00402805" w:rsidRPr="00C21E1E" w:rsidRDefault="00402805">
            <w:pPr>
              <w:pStyle w:val="DeptBullets"/>
              <w:numPr>
                <w:ilvl w:val="0"/>
                <w:numId w:val="0"/>
              </w:numPr>
              <w:spacing w:after="0"/>
              <w:rPr>
                <w:rFonts w:ascii="Arial" w:hAnsi="Arial" w:cs="Arial"/>
              </w:rPr>
            </w:pPr>
            <w:r w:rsidRPr="00C21E1E">
              <w:rPr>
                <w:rFonts w:ascii="Arial" w:hAnsi="Arial" w:cs="Arial"/>
              </w:rPr>
              <w:t>National Average</w:t>
            </w:r>
          </w:p>
        </w:tc>
        <w:tc>
          <w:tcPr>
            <w:tcW w:w="1123" w:type="dxa"/>
            <w:tcBorders>
              <w:left w:val="single" w:sz="8" w:space="0" w:color="auto"/>
            </w:tcBorders>
            <w:vAlign w:val="center"/>
          </w:tcPr>
          <w:p w14:paraId="1C5364DA"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82.1%</w:t>
            </w:r>
          </w:p>
        </w:tc>
        <w:tc>
          <w:tcPr>
            <w:tcW w:w="1134" w:type="dxa"/>
            <w:vAlign w:val="center"/>
          </w:tcPr>
          <w:p w14:paraId="4650C866"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75.4%</w:t>
            </w:r>
          </w:p>
        </w:tc>
        <w:tc>
          <w:tcPr>
            <w:tcW w:w="1134" w:type="dxa"/>
            <w:tcBorders>
              <w:right w:val="single" w:sz="8" w:space="0" w:color="auto"/>
            </w:tcBorders>
            <w:vAlign w:val="center"/>
          </w:tcPr>
          <w:p w14:paraId="2424DCA7"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78.5%</w:t>
            </w:r>
          </w:p>
        </w:tc>
        <w:tc>
          <w:tcPr>
            <w:tcW w:w="1134" w:type="dxa"/>
            <w:tcBorders>
              <w:left w:val="single" w:sz="8" w:space="0" w:color="auto"/>
            </w:tcBorders>
            <w:vAlign w:val="center"/>
          </w:tcPr>
          <w:p w14:paraId="3531C637"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89.2%</w:t>
            </w:r>
          </w:p>
        </w:tc>
        <w:tc>
          <w:tcPr>
            <w:tcW w:w="1134" w:type="dxa"/>
            <w:vAlign w:val="center"/>
          </w:tcPr>
          <w:p w14:paraId="518DF3C3"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86.9%</w:t>
            </w:r>
          </w:p>
        </w:tc>
        <w:tc>
          <w:tcPr>
            <w:tcW w:w="1134" w:type="dxa"/>
            <w:tcBorders>
              <w:right w:val="single" w:sz="8" w:space="0" w:color="auto"/>
            </w:tcBorders>
            <w:vAlign w:val="center"/>
          </w:tcPr>
          <w:p w14:paraId="4DCD5A21"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92.7%</w:t>
            </w:r>
          </w:p>
        </w:tc>
        <w:tc>
          <w:tcPr>
            <w:tcW w:w="1276" w:type="dxa"/>
            <w:tcBorders>
              <w:left w:val="single" w:sz="8" w:space="0" w:color="auto"/>
            </w:tcBorders>
            <w:vAlign w:val="center"/>
          </w:tcPr>
          <w:p w14:paraId="5A07791B"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Not published</w:t>
            </w:r>
          </w:p>
        </w:tc>
        <w:tc>
          <w:tcPr>
            <w:tcW w:w="1275" w:type="dxa"/>
            <w:vAlign w:val="center"/>
          </w:tcPr>
          <w:p w14:paraId="6BBDE7D5"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Not Published</w:t>
            </w:r>
          </w:p>
        </w:tc>
        <w:tc>
          <w:tcPr>
            <w:tcW w:w="1276" w:type="dxa"/>
            <w:tcBorders>
              <w:right w:val="single" w:sz="8" w:space="0" w:color="auto"/>
            </w:tcBorders>
            <w:vAlign w:val="center"/>
          </w:tcPr>
          <w:p w14:paraId="6F73CD36" w14:textId="77777777" w:rsidR="00402805" w:rsidRPr="00C21E1E" w:rsidRDefault="00402805">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C21E1E">
              <w:rPr>
                <w:rFonts w:ascii="Arial" w:hAnsi="Arial" w:cs="Arial"/>
              </w:rPr>
              <w:t>To be published 2 Feb 23</w:t>
            </w:r>
          </w:p>
        </w:tc>
        <w:tc>
          <w:tcPr>
            <w:tcW w:w="2552" w:type="dxa"/>
            <w:tcBorders>
              <w:left w:val="single" w:sz="8" w:space="0" w:color="auto"/>
            </w:tcBorders>
            <w:vAlign w:val="center"/>
          </w:tcPr>
          <w:p w14:paraId="07031459" w14:textId="391239E0" w:rsidR="00402805" w:rsidRPr="00C21E1E" w:rsidRDefault="0099312B" w:rsidP="0099312B">
            <w:pPr>
              <w:pStyle w:val="DeptBullets"/>
              <w:numPr>
                <w:ilvl w:val="0"/>
                <w:numId w:val="0"/>
              </w:num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115</w:t>
            </w:r>
          </w:p>
        </w:tc>
      </w:tr>
      <w:tr w:rsidR="00402805" w:rsidRPr="00C21E1E" w14:paraId="792DF896" w14:textId="77777777">
        <w:trPr>
          <w:trHeight w:val="296"/>
          <w:jc w:val="center"/>
        </w:trPr>
        <w:tc>
          <w:tcPr>
            <w:cnfStyle w:val="001000000000" w:firstRow="0" w:lastRow="0" w:firstColumn="1" w:lastColumn="0" w:oddVBand="0" w:evenVBand="0" w:oddHBand="0" w:evenHBand="0" w:firstRowFirstColumn="0" w:firstRowLastColumn="0" w:lastRowFirstColumn="0" w:lastRowLastColumn="0"/>
            <w:tcW w:w="1424" w:type="dxa"/>
            <w:tcBorders>
              <w:right w:val="single" w:sz="8" w:space="0" w:color="auto"/>
            </w:tcBorders>
          </w:tcPr>
          <w:p w14:paraId="06B25285" w14:textId="77777777" w:rsidR="00402805" w:rsidRPr="00C21E1E" w:rsidRDefault="00402805">
            <w:pPr>
              <w:pStyle w:val="DeptBullets"/>
              <w:numPr>
                <w:ilvl w:val="0"/>
                <w:numId w:val="0"/>
              </w:numPr>
              <w:spacing w:after="0"/>
              <w:rPr>
                <w:rFonts w:ascii="Arial" w:hAnsi="Arial" w:cs="Arial"/>
              </w:rPr>
            </w:pPr>
            <w:r w:rsidRPr="00C21E1E">
              <w:rPr>
                <w:rFonts w:ascii="Arial" w:hAnsi="Arial" w:cs="Arial"/>
              </w:rPr>
              <w:t>Yes</w:t>
            </w:r>
          </w:p>
        </w:tc>
        <w:tc>
          <w:tcPr>
            <w:tcW w:w="1123" w:type="dxa"/>
            <w:tcBorders>
              <w:left w:val="single" w:sz="8" w:space="0" w:color="auto"/>
            </w:tcBorders>
          </w:tcPr>
          <w:p w14:paraId="02145C96"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623096AB"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right w:val="single" w:sz="8" w:space="0" w:color="auto"/>
            </w:tcBorders>
          </w:tcPr>
          <w:p w14:paraId="7D111674"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left w:val="single" w:sz="8" w:space="0" w:color="auto"/>
            </w:tcBorders>
          </w:tcPr>
          <w:p w14:paraId="13976C69"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Pr>
          <w:p w14:paraId="3326ACD2"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134" w:type="dxa"/>
            <w:tcBorders>
              <w:right w:val="single" w:sz="8" w:space="0" w:color="auto"/>
            </w:tcBorders>
          </w:tcPr>
          <w:p w14:paraId="6DC0C25D"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Borders>
              <w:left w:val="single" w:sz="8" w:space="0" w:color="auto"/>
            </w:tcBorders>
          </w:tcPr>
          <w:p w14:paraId="16ED4DF8"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5" w:type="dxa"/>
          </w:tcPr>
          <w:p w14:paraId="28D4D107"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76" w:type="dxa"/>
            <w:tcBorders>
              <w:right w:val="single" w:sz="8" w:space="0" w:color="auto"/>
            </w:tcBorders>
          </w:tcPr>
          <w:p w14:paraId="0763BA49"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552" w:type="dxa"/>
            <w:tcBorders>
              <w:left w:val="single" w:sz="8" w:space="0" w:color="auto"/>
            </w:tcBorders>
          </w:tcPr>
          <w:p w14:paraId="283E4D73" w14:textId="77777777" w:rsidR="00402805" w:rsidRPr="00C21E1E" w:rsidRDefault="00402805">
            <w:pPr>
              <w:pStyle w:val="DeptBullets"/>
              <w:numPr>
                <w:ilvl w:val="0"/>
                <w:numId w:val="0"/>
              </w:numPr>
              <w:spacing w:after="0"/>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191C76AB" w14:textId="611780D5" w:rsidR="008E268B" w:rsidRDefault="00C21E1E" w:rsidP="00C21E1E">
      <w:pPr>
        <w:pStyle w:val="DeptBullets"/>
        <w:numPr>
          <w:ilvl w:val="0"/>
          <w:numId w:val="0"/>
        </w:numPr>
        <w:spacing w:after="0"/>
        <w:rPr>
          <w:rFonts w:ascii="Arial" w:hAnsi="Arial" w:cs="Arial"/>
          <w:b/>
          <w:bCs/>
          <w:i/>
          <w:iCs/>
        </w:rPr>
      </w:pPr>
      <w:r w:rsidRPr="00C21E1E">
        <w:rPr>
          <w:rFonts w:ascii="Arial" w:hAnsi="Arial" w:cs="Arial"/>
          <w:b/>
          <w:bCs/>
          <w:i/>
          <w:iCs/>
        </w:rPr>
        <w:t>*</w:t>
      </w:r>
      <w:r w:rsidRPr="00C21E1E">
        <w:rPr>
          <w:rFonts w:ascii="Arial" w:hAnsi="Arial" w:cs="Arial"/>
          <w:i/>
          <w:iCs/>
        </w:rPr>
        <w:t>As this data is not published</w:t>
      </w:r>
      <w:r w:rsidRPr="00C21E1E">
        <w:rPr>
          <w:rFonts w:ascii="Arial" w:hAnsi="Arial" w:cs="Arial"/>
          <w:b/>
          <w:bCs/>
          <w:i/>
          <w:iCs/>
        </w:rPr>
        <w:t xml:space="preserve">, </w:t>
      </w:r>
      <w:r w:rsidRPr="00C21E1E">
        <w:rPr>
          <w:rFonts w:ascii="Arial" w:hAnsi="Arial" w:cs="Arial"/>
          <w:i/>
          <w:iCs/>
        </w:rPr>
        <w:t>institutions that do not meet the further maths criterion can contact us via the Jaggaer portal to check whether they are eligible, based on their core maths score alone.</w:t>
      </w:r>
      <w:r w:rsidRPr="00C21E1E">
        <w:rPr>
          <w:rFonts w:ascii="Arial" w:hAnsi="Arial" w:cs="Arial"/>
          <w:b/>
          <w:bCs/>
          <w:i/>
          <w:iCs/>
        </w:rPr>
        <w:t xml:space="preserve"> </w:t>
      </w:r>
    </w:p>
    <w:p w14:paraId="35C3315C" w14:textId="77777777" w:rsidR="008E268B" w:rsidRPr="00C21E1E" w:rsidRDefault="008E268B" w:rsidP="00C21E1E">
      <w:pPr>
        <w:pStyle w:val="DeptBullets"/>
        <w:numPr>
          <w:ilvl w:val="0"/>
          <w:numId w:val="0"/>
        </w:numPr>
        <w:spacing w:after="0"/>
        <w:rPr>
          <w:rFonts w:ascii="Arial" w:hAnsi="Arial" w:cs="Arial"/>
          <w:b/>
          <w:bCs/>
          <w:i/>
          <w:iCs/>
        </w:rPr>
      </w:pPr>
    </w:p>
    <w:p w14:paraId="78C90A9F" w14:textId="103B795E" w:rsidR="009612DB" w:rsidRPr="009F60B9" w:rsidRDefault="00CB7646" w:rsidP="009F60B9">
      <w:pPr>
        <w:pStyle w:val="DeptBullets"/>
        <w:numPr>
          <w:ilvl w:val="0"/>
          <w:numId w:val="0"/>
        </w:numPr>
        <w:spacing w:after="0"/>
        <w:rPr>
          <w:rFonts w:ascii="Arial" w:hAnsi="Arial" w:cs="Arial"/>
          <w:b/>
          <w:bCs/>
        </w:rPr>
      </w:pPr>
      <w:r>
        <w:rPr>
          <w:rFonts w:ascii="Arial" w:hAnsi="Arial" w:cs="Arial"/>
          <w:b/>
        </w:rPr>
        <w:t xml:space="preserve">Due to the data being unavailable for </w:t>
      </w:r>
      <w:r w:rsidR="00D45639">
        <w:rPr>
          <w:rFonts w:ascii="Arial" w:hAnsi="Arial" w:cs="Arial"/>
          <w:b/>
        </w:rPr>
        <w:t>‘</w:t>
      </w:r>
      <w:r w:rsidRPr="00CA50EF">
        <w:rPr>
          <w:rFonts w:ascii="Arial" w:hAnsi="Arial" w:cs="Arial"/>
          <w:b/>
          <w:i/>
          <w:iCs/>
        </w:rPr>
        <w:t xml:space="preserve">GCSE resit </w:t>
      </w:r>
      <w:r w:rsidR="00D45639" w:rsidRPr="00CA50EF">
        <w:rPr>
          <w:rFonts w:ascii="Arial" w:hAnsi="Arial" w:cs="Arial"/>
          <w:b/>
          <w:i/>
          <w:iCs/>
        </w:rPr>
        <w:t>p</w:t>
      </w:r>
      <w:r w:rsidRPr="00CA50EF">
        <w:rPr>
          <w:rFonts w:ascii="Arial" w:hAnsi="Arial" w:cs="Arial"/>
          <w:b/>
          <w:i/>
          <w:iCs/>
        </w:rPr>
        <w:t>rogress</w:t>
      </w:r>
      <w:r w:rsidR="00D45639" w:rsidRPr="00CA50EF">
        <w:rPr>
          <w:rFonts w:ascii="Arial" w:hAnsi="Arial" w:cs="Arial"/>
          <w:b/>
          <w:i/>
          <w:iCs/>
        </w:rPr>
        <w:t>’</w:t>
      </w:r>
      <w:r>
        <w:rPr>
          <w:rFonts w:ascii="Arial" w:hAnsi="Arial" w:cs="Arial"/>
          <w:b/>
        </w:rPr>
        <w:t xml:space="preserve">, this metric will not be used until 2024. </w:t>
      </w:r>
    </w:p>
    <w:p w14:paraId="63A6029A" w14:textId="77777777" w:rsidR="003F4A02" w:rsidRPr="00566D69" w:rsidRDefault="003F4A02" w:rsidP="003F4A02">
      <w:pPr>
        <w:pStyle w:val="DeptBullets"/>
        <w:numPr>
          <w:ilvl w:val="0"/>
          <w:numId w:val="0"/>
        </w:numPr>
        <w:spacing w:after="0" w:line="256" w:lineRule="auto"/>
        <w:rPr>
          <w:rFonts w:ascii="Arial" w:hAnsi="Arial" w:cs="Arial"/>
          <w:b/>
        </w:rPr>
      </w:pPr>
    </w:p>
    <w:p w14:paraId="72BEBF4F" w14:textId="590E6A96" w:rsidR="003F4A02" w:rsidRPr="00566D69" w:rsidRDefault="003D027F" w:rsidP="003F4A02">
      <w:pPr>
        <w:pBdr>
          <w:top w:val="nil"/>
          <w:left w:val="nil"/>
          <w:bottom w:val="nil"/>
          <w:right w:val="nil"/>
          <w:between w:val="nil"/>
        </w:pBdr>
        <w:rPr>
          <w:rFonts w:ascii="Arial" w:eastAsia="Arial" w:hAnsi="Arial" w:cs="Arial"/>
          <w:color w:val="000000" w:themeColor="text1"/>
        </w:rPr>
      </w:pPr>
      <w:r>
        <w:rPr>
          <w:rFonts w:ascii="Arial" w:eastAsia="Arial" w:hAnsi="Arial" w:cs="Arial"/>
          <w:color w:val="000000" w:themeColor="text1"/>
        </w:rPr>
        <w:lastRenderedPageBreak/>
        <w:t xml:space="preserve">The following questions will </w:t>
      </w:r>
      <w:r w:rsidR="00946F04">
        <w:rPr>
          <w:rFonts w:ascii="Arial" w:eastAsia="Arial" w:hAnsi="Arial" w:cs="Arial"/>
          <w:color w:val="000000" w:themeColor="text1"/>
        </w:rPr>
        <w:t>require a response</w:t>
      </w:r>
      <w:r w:rsidR="00AE15CC">
        <w:rPr>
          <w:rFonts w:ascii="Arial" w:eastAsia="Arial" w:hAnsi="Arial" w:cs="Arial"/>
          <w:color w:val="000000" w:themeColor="text1"/>
        </w:rPr>
        <w:t xml:space="preserve"> as part of the application process.</w:t>
      </w:r>
    </w:p>
    <w:p w14:paraId="1ABE3316" w14:textId="77777777" w:rsidR="003F4A02" w:rsidRPr="00566D69" w:rsidRDefault="003F4A02" w:rsidP="003F4A02">
      <w:pPr>
        <w:pBdr>
          <w:top w:val="nil"/>
          <w:left w:val="nil"/>
          <w:bottom w:val="nil"/>
          <w:right w:val="nil"/>
          <w:between w:val="nil"/>
        </w:pBdr>
        <w:rPr>
          <w:rFonts w:ascii="Arial" w:eastAsia="Arial" w:hAnsi="Arial" w:cs="Arial"/>
          <w:color w:val="000000"/>
        </w:rPr>
      </w:pPr>
    </w:p>
    <w:p w14:paraId="0DBA905D" w14:textId="77777777" w:rsidR="003F4A02" w:rsidRPr="00566D69" w:rsidRDefault="003F4A02" w:rsidP="003F4A02">
      <w:pPr>
        <w:pStyle w:val="Heading2"/>
        <w:spacing w:before="0" w:after="0" w:line="288" w:lineRule="auto"/>
        <w:rPr>
          <w:rFonts w:ascii="Arial" w:hAnsi="Arial" w:cs="Arial"/>
        </w:rPr>
      </w:pPr>
      <w:r w:rsidRPr="00566D69">
        <w:rPr>
          <w:rFonts w:ascii="Arial" w:hAnsi="Arial" w:cs="Arial"/>
        </w:rPr>
        <w:t>Maths credibility and capacity</w:t>
      </w:r>
    </w:p>
    <w:p w14:paraId="4940EA32" w14:textId="77777777" w:rsidR="003F4A02" w:rsidRPr="00566D69" w:rsidRDefault="003F4A02" w:rsidP="003F4A02">
      <w:pPr>
        <w:pBdr>
          <w:top w:val="nil"/>
          <w:left w:val="nil"/>
          <w:bottom w:val="nil"/>
          <w:right w:val="nil"/>
          <w:between w:val="nil"/>
        </w:pBdr>
        <w:rPr>
          <w:rFonts w:ascii="Arial" w:eastAsia="Arial" w:hAnsi="Arial" w:cs="Arial"/>
          <w:color w:val="000000"/>
        </w:rPr>
      </w:pP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54"/>
        <w:gridCol w:w="4076"/>
      </w:tblGrid>
      <w:tr w:rsidR="003F4A02" w:rsidRPr="00566D69" w14:paraId="401511D3" w14:textId="77777777">
        <w:tc>
          <w:tcPr>
            <w:tcW w:w="3537" w:type="pct"/>
          </w:tcPr>
          <w:p w14:paraId="5A6552A9" w14:textId="77777777" w:rsidR="003F4A02" w:rsidRPr="00566D69" w:rsidRDefault="003F4A02">
            <w:pPr>
              <w:pBdr>
                <w:top w:val="nil"/>
                <w:left w:val="nil"/>
                <w:bottom w:val="nil"/>
                <w:right w:val="nil"/>
                <w:between w:val="nil"/>
              </w:pBdr>
              <w:rPr>
                <w:rFonts w:ascii="Arial" w:eastAsia="Arial" w:hAnsi="Arial" w:cs="Arial"/>
                <w:b/>
                <w:color w:val="000000"/>
              </w:rPr>
            </w:pPr>
            <w:r w:rsidRPr="00566D69">
              <w:rPr>
                <w:rFonts w:ascii="Arial" w:eastAsia="Arial" w:hAnsi="Arial" w:cs="Arial"/>
                <w:b/>
                <w:color w:val="000000"/>
              </w:rPr>
              <w:t xml:space="preserve">Improving mathematics outcomes: </w:t>
            </w:r>
          </w:p>
          <w:p w14:paraId="7C20F6B5" w14:textId="77777777" w:rsidR="003F4A02" w:rsidRPr="00566D69" w:rsidRDefault="003F4A02">
            <w:pPr>
              <w:rPr>
                <w:rFonts w:ascii="Arial" w:eastAsia="Arial" w:hAnsi="Arial" w:cs="Arial"/>
                <w:i/>
                <w:iCs/>
                <w:color w:val="000000"/>
              </w:rPr>
            </w:pPr>
            <w:r w:rsidRPr="00566D69">
              <w:rPr>
                <w:rFonts w:ascii="Arial" w:eastAsia="Arial" w:hAnsi="Arial" w:cs="Arial"/>
                <w:color w:val="000000"/>
              </w:rPr>
              <w:t xml:space="preserve">Provide at least two high impact examples, </w:t>
            </w:r>
            <w:proofErr w:type="gramStart"/>
            <w:r w:rsidRPr="00566D69">
              <w:rPr>
                <w:rFonts w:ascii="Arial" w:eastAsia="Arial" w:hAnsi="Arial" w:cs="Arial"/>
                <w:color w:val="000000"/>
              </w:rPr>
              <w:t>over the past two years,</w:t>
            </w:r>
            <w:proofErr w:type="gramEnd"/>
            <w:r w:rsidRPr="00566D69">
              <w:rPr>
                <w:rFonts w:ascii="Arial" w:eastAsia="Arial" w:hAnsi="Arial" w:cs="Arial"/>
                <w:color w:val="000000"/>
              </w:rPr>
              <w:t xml:space="preserve"> of support for improving outcomes in mathematics beyond the proposed Lead School. Include evidence of reach and impact. </w:t>
            </w:r>
            <w:r w:rsidRPr="00566D69">
              <w:rPr>
                <w:rFonts w:ascii="Arial" w:eastAsia="Arial" w:hAnsi="Arial" w:cs="Arial"/>
                <w:i/>
                <w:iCs/>
                <w:color w:val="000000"/>
              </w:rPr>
              <w:t>(250 words maximum)</w:t>
            </w:r>
          </w:p>
        </w:tc>
        <w:tc>
          <w:tcPr>
            <w:tcW w:w="1463" w:type="pct"/>
          </w:tcPr>
          <w:p w14:paraId="17A56B60" w14:textId="77777777" w:rsidR="003F4A02" w:rsidRPr="00566D69" w:rsidRDefault="003F4A02">
            <w:pPr>
              <w:spacing w:before="230"/>
              <w:rPr>
                <w:rFonts w:ascii="Arial" w:eastAsia="Arial" w:hAnsi="Arial" w:cs="Arial"/>
                <w:color w:val="000000"/>
              </w:rPr>
            </w:pPr>
          </w:p>
        </w:tc>
      </w:tr>
      <w:tr w:rsidR="003F4A02" w:rsidRPr="00566D69" w14:paraId="7F278364" w14:textId="77777777">
        <w:tc>
          <w:tcPr>
            <w:tcW w:w="3537" w:type="pct"/>
          </w:tcPr>
          <w:p w14:paraId="03599E3A" w14:textId="77777777" w:rsidR="003F4A02" w:rsidRPr="00566D69" w:rsidRDefault="003F4A02">
            <w:pPr>
              <w:pBdr>
                <w:top w:val="nil"/>
                <w:left w:val="nil"/>
                <w:bottom w:val="nil"/>
                <w:right w:val="nil"/>
                <w:between w:val="nil"/>
              </w:pBdr>
              <w:rPr>
                <w:rFonts w:ascii="Arial" w:eastAsia="Arial" w:hAnsi="Arial" w:cs="Arial"/>
                <w:b/>
                <w:color w:val="000000"/>
              </w:rPr>
            </w:pPr>
            <w:r w:rsidRPr="00566D69">
              <w:rPr>
                <w:rFonts w:ascii="Arial" w:eastAsia="Arial" w:hAnsi="Arial" w:cs="Arial"/>
                <w:b/>
                <w:color w:val="000000"/>
              </w:rPr>
              <w:t>Maths workforce development:</w:t>
            </w:r>
          </w:p>
          <w:p w14:paraId="2017D0FE" w14:textId="77777777" w:rsidR="003F4A02" w:rsidRPr="00566D69" w:rsidRDefault="003F4A02">
            <w:pPr>
              <w:rPr>
                <w:rFonts w:ascii="Arial" w:eastAsia="Arial" w:hAnsi="Arial" w:cs="Arial"/>
                <w:i/>
                <w:iCs/>
                <w:color w:val="000000"/>
              </w:rPr>
            </w:pPr>
            <w:r w:rsidRPr="00566D69">
              <w:rPr>
                <w:rFonts w:ascii="Arial" w:eastAsia="Arial" w:hAnsi="Arial" w:cs="Arial"/>
                <w:color w:val="000000"/>
              </w:rPr>
              <w:t xml:space="preserve">Provide at least two high impact examples, </w:t>
            </w:r>
            <w:proofErr w:type="gramStart"/>
            <w:r w:rsidRPr="00566D69">
              <w:rPr>
                <w:rFonts w:ascii="Arial" w:eastAsia="Arial" w:hAnsi="Arial" w:cs="Arial"/>
                <w:color w:val="000000"/>
              </w:rPr>
              <w:t>over the past two years,</w:t>
            </w:r>
            <w:proofErr w:type="gramEnd"/>
            <w:r w:rsidRPr="00566D69">
              <w:rPr>
                <w:rFonts w:ascii="Arial" w:eastAsia="Arial" w:hAnsi="Arial" w:cs="Arial"/>
                <w:color w:val="000000"/>
              </w:rPr>
              <w:t xml:space="preserve"> of support for maths workforce development within the proposed Lead School. Include evidence of impact. </w:t>
            </w:r>
            <w:r w:rsidRPr="00566D69">
              <w:rPr>
                <w:rFonts w:ascii="Arial" w:eastAsia="Arial" w:hAnsi="Arial" w:cs="Arial"/>
                <w:i/>
                <w:iCs/>
                <w:color w:val="000000"/>
              </w:rPr>
              <w:t>(250 words maximum)</w:t>
            </w:r>
          </w:p>
        </w:tc>
        <w:tc>
          <w:tcPr>
            <w:tcW w:w="1463" w:type="pct"/>
          </w:tcPr>
          <w:p w14:paraId="4CB96369" w14:textId="77777777" w:rsidR="003F4A02" w:rsidRPr="00566D69" w:rsidRDefault="003F4A02">
            <w:pPr>
              <w:rPr>
                <w:rFonts w:ascii="Arial" w:eastAsia="Arial" w:hAnsi="Arial" w:cs="Arial"/>
                <w:color w:val="000000"/>
              </w:rPr>
            </w:pPr>
          </w:p>
        </w:tc>
      </w:tr>
      <w:tr w:rsidR="003F4A02" w:rsidRPr="00566D69" w14:paraId="22F8F0FC" w14:textId="77777777">
        <w:tc>
          <w:tcPr>
            <w:tcW w:w="3537" w:type="pct"/>
          </w:tcPr>
          <w:p w14:paraId="29E881C6" w14:textId="77777777" w:rsidR="003F4A02" w:rsidRPr="00566D69" w:rsidRDefault="003F4A02">
            <w:pPr>
              <w:pBdr>
                <w:top w:val="nil"/>
                <w:left w:val="nil"/>
                <w:bottom w:val="nil"/>
                <w:right w:val="nil"/>
                <w:between w:val="nil"/>
              </w:pBdr>
              <w:tabs>
                <w:tab w:val="right" w:pos="8520"/>
              </w:tabs>
              <w:spacing w:line="288" w:lineRule="auto"/>
              <w:rPr>
                <w:rFonts w:ascii="Arial" w:eastAsia="Arial" w:hAnsi="Arial" w:cs="Arial"/>
                <w:b/>
                <w:color w:val="000000"/>
              </w:rPr>
            </w:pPr>
            <w:r w:rsidRPr="00566D69">
              <w:rPr>
                <w:rFonts w:ascii="Arial" w:eastAsia="Arial" w:hAnsi="Arial" w:cs="Arial"/>
                <w:b/>
                <w:color w:val="000000"/>
              </w:rPr>
              <w:t>Teaching for mastery:</w:t>
            </w:r>
          </w:p>
          <w:p w14:paraId="57C758E1" w14:textId="77777777" w:rsidR="003F4A02" w:rsidRPr="00566D69" w:rsidRDefault="003F4A02">
            <w:pPr>
              <w:rPr>
                <w:rFonts w:ascii="Arial" w:eastAsia="Arial" w:hAnsi="Arial" w:cs="Arial"/>
                <w:color w:val="000000"/>
              </w:rPr>
            </w:pPr>
            <w:r w:rsidRPr="00566D69">
              <w:rPr>
                <w:rFonts w:ascii="Arial" w:eastAsia="Arial" w:hAnsi="Arial" w:cs="Arial"/>
                <w:color w:val="000000"/>
              </w:rPr>
              <w:t xml:space="preserve">Explain how the school/college/Trust demonstrates its strong commitment to Teaching for Mastery as advocated by the NCETM and Maths Hubs. </w:t>
            </w:r>
            <w:r w:rsidRPr="00566D69">
              <w:rPr>
                <w:rFonts w:ascii="Arial" w:eastAsia="Arial" w:hAnsi="Arial" w:cs="Arial"/>
                <w:i/>
                <w:iCs/>
                <w:color w:val="000000"/>
              </w:rPr>
              <w:t>(250 words maximum)</w:t>
            </w:r>
          </w:p>
        </w:tc>
        <w:tc>
          <w:tcPr>
            <w:tcW w:w="1463" w:type="pct"/>
          </w:tcPr>
          <w:p w14:paraId="15A98250" w14:textId="77777777" w:rsidR="003F4A02" w:rsidRPr="00566D69" w:rsidRDefault="003F4A02">
            <w:pPr>
              <w:rPr>
                <w:rFonts w:ascii="Arial" w:eastAsia="Arial" w:hAnsi="Arial" w:cs="Arial"/>
                <w:color w:val="000000"/>
              </w:rPr>
            </w:pPr>
          </w:p>
        </w:tc>
      </w:tr>
    </w:tbl>
    <w:p w14:paraId="4341B6AF" w14:textId="77777777" w:rsidR="003F4A02" w:rsidRPr="00566D69" w:rsidRDefault="003F4A02" w:rsidP="003F4A02">
      <w:pPr>
        <w:pStyle w:val="Heading2"/>
        <w:spacing w:before="0" w:after="0" w:line="288" w:lineRule="auto"/>
        <w:rPr>
          <w:rFonts w:ascii="Arial" w:hAnsi="Arial" w:cs="Arial"/>
        </w:rPr>
      </w:pPr>
    </w:p>
    <w:p w14:paraId="4B0A27D2" w14:textId="77777777" w:rsidR="003F4A02" w:rsidRPr="00566D69" w:rsidRDefault="003F4A02" w:rsidP="003F4A02">
      <w:pPr>
        <w:pStyle w:val="Heading2"/>
        <w:spacing w:before="0" w:after="0" w:line="288" w:lineRule="auto"/>
        <w:rPr>
          <w:rFonts w:ascii="Arial" w:hAnsi="Arial" w:cs="Arial"/>
        </w:rPr>
      </w:pPr>
      <w:r w:rsidRPr="00566D69">
        <w:rPr>
          <w:rFonts w:ascii="Arial" w:hAnsi="Arial" w:cs="Arial"/>
        </w:rPr>
        <w:t xml:space="preserve">Leadership credibility, </w:t>
      </w:r>
      <w:proofErr w:type="gramStart"/>
      <w:r w:rsidRPr="00566D69">
        <w:rPr>
          <w:rFonts w:ascii="Arial" w:hAnsi="Arial" w:cs="Arial"/>
        </w:rPr>
        <w:t>capacity</w:t>
      </w:r>
      <w:proofErr w:type="gramEnd"/>
      <w:r w:rsidRPr="00566D69">
        <w:rPr>
          <w:rFonts w:ascii="Arial" w:hAnsi="Arial" w:cs="Arial"/>
        </w:rPr>
        <w:t xml:space="preserve"> and commitment</w:t>
      </w:r>
    </w:p>
    <w:p w14:paraId="5FA691BB" w14:textId="77777777" w:rsidR="003F4A02" w:rsidRPr="00566D69" w:rsidRDefault="003F4A02" w:rsidP="003F4A02">
      <w:pPr>
        <w:rPr>
          <w:rFonts w:ascii="Arial" w:hAnsi="Arial" w:cs="Arial"/>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15" w:type="dxa"/>
          <w:right w:w="115" w:type="dxa"/>
        </w:tblCellMar>
        <w:tblLook w:val="0400" w:firstRow="0" w:lastRow="0" w:firstColumn="0" w:lastColumn="0" w:noHBand="0" w:noVBand="1"/>
      </w:tblPr>
      <w:tblGrid>
        <w:gridCol w:w="9854"/>
        <w:gridCol w:w="4076"/>
      </w:tblGrid>
      <w:tr w:rsidR="003F4A02" w:rsidRPr="00566D69" w14:paraId="1F00181E" w14:textId="77777777">
        <w:trPr>
          <w:trHeight w:val="1112"/>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1431A919"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b/>
                <w:color w:val="000000"/>
              </w:rPr>
              <w:t>Senior leadership expertise:</w:t>
            </w:r>
          </w:p>
          <w:p w14:paraId="5030E8B7"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color w:val="000000"/>
              </w:rPr>
              <w:t xml:space="preserve">Provide evidence of the nominated senior leadership link’s track record for building, </w:t>
            </w:r>
            <w:proofErr w:type="gramStart"/>
            <w:r w:rsidRPr="00566D69">
              <w:rPr>
                <w:rFonts w:ascii="Arial" w:eastAsia="Arial" w:hAnsi="Arial" w:cs="Arial"/>
                <w:color w:val="000000"/>
              </w:rPr>
              <w:t>facilitating</w:t>
            </w:r>
            <w:proofErr w:type="gramEnd"/>
            <w:r w:rsidRPr="00566D69">
              <w:rPr>
                <w:rFonts w:ascii="Arial" w:eastAsia="Arial" w:hAnsi="Arial" w:cs="Arial"/>
                <w:color w:val="000000"/>
              </w:rPr>
              <w:t xml:space="preserve"> and evaluating partnerships and networks. </w:t>
            </w:r>
            <w:r w:rsidRPr="00566D69">
              <w:rPr>
                <w:rFonts w:ascii="Arial" w:eastAsia="Arial" w:hAnsi="Arial" w:cs="Arial"/>
                <w:i/>
                <w:color w:val="000000"/>
              </w:rPr>
              <w:t>(250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7F5C9D00" w14:textId="77777777" w:rsidR="003F4A02" w:rsidRPr="00566D69" w:rsidRDefault="003F4A02">
            <w:pPr>
              <w:pBdr>
                <w:top w:val="nil"/>
                <w:left w:val="nil"/>
                <w:bottom w:val="nil"/>
                <w:right w:val="nil"/>
                <w:between w:val="nil"/>
              </w:pBdr>
              <w:spacing w:before="120"/>
              <w:rPr>
                <w:rFonts w:ascii="Arial" w:eastAsia="Arial" w:hAnsi="Arial" w:cs="Arial"/>
              </w:rPr>
            </w:pPr>
          </w:p>
        </w:tc>
      </w:tr>
      <w:tr w:rsidR="003F4A02" w:rsidRPr="00566D69" w14:paraId="412FC8FD" w14:textId="77777777">
        <w:trPr>
          <w:trHeight w:val="1513"/>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61A9E7FA"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b/>
                <w:color w:val="000000"/>
              </w:rPr>
              <w:t>External project financial accountability</w:t>
            </w:r>
            <w:r w:rsidRPr="00566D69">
              <w:rPr>
                <w:rFonts w:ascii="Arial" w:eastAsia="Arial" w:hAnsi="Arial" w:cs="Arial"/>
                <w:color w:val="000000"/>
              </w:rPr>
              <w:t>:</w:t>
            </w:r>
          </w:p>
          <w:p w14:paraId="4E353AAF"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color w:val="000000"/>
              </w:rPr>
              <w:t>Provide evidence of a strong track record of taking accountability for funding and contracting other schools/</w:t>
            </w:r>
            <w:proofErr w:type="spellStart"/>
            <w:r w:rsidRPr="00566D69">
              <w:rPr>
                <w:rFonts w:ascii="Arial" w:eastAsia="Arial" w:hAnsi="Arial" w:cs="Arial"/>
                <w:color w:val="000000"/>
              </w:rPr>
              <w:t>organisations</w:t>
            </w:r>
            <w:proofErr w:type="spellEnd"/>
            <w:r w:rsidRPr="00566D69">
              <w:rPr>
                <w:rFonts w:ascii="Arial" w:eastAsia="Arial" w:hAnsi="Arial" w:cs="Arial"/>
                <w:color w:val="000000"/>
              </w:rPr>
              <w:t xml:space="preserve"> to deliver projects, including value for money, appropriate use of public funding, and impact.</w:t>
            </w:r>
            <w:r w:rsidRPr="00566D69">
              <w:rPr>
                <w:rFonts w:ascii="Arial" w:eastAsia="Arial" w:hAnsi="Arial" w:cs="Arial"/>
                <w:i/>
                <w:color w:val="000000"/>
              </w:rPr>
              <w:t xml:space="preserve"> (250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6B1935BF" w14:textId="77777777" w:rsidR="003F4A02" w:rsidRPr="00566D69" w:rsidRDefault="003F4A02">
            <w:pPr>
              <w:pBdr>
                <w:top w:val="nil"/>
                <w:left w:val="nil"/>
                <w:bottom w:val="nil"/>
                <w:right w:val="nil"/>
                <w:between w:val="nil"/>
              </w:pBdr>
              <w:spacing w:before="230"/>
              <w:rPr>
                <w:rFonts w:ascii="Arial" w:eastAsia="Arial" w:hAnsi="Arial" w:cs="Arial"/>
              </w:rPr>
            </w:pPr>
          </w:p>
        </w:tc>
      </w:tr>
      <w:tr w:rsidR="003F4A02" w:rsidRPr="00566D69" w14:paraId="7A3E69BD" w14:textId="77777777">
        <w:trPr>
          <w:trHeight w:val="1211"/>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613E5B43" w14:textId="77777777" w:rsidR="003F4A02" w:rsidRPr="00566D69" w:rsidRDefault="003F4A02">
            <w:pPr>
              <w:pBdr>
                <w:top w:val="nil"/>
                <w:left w:val="nil"/>
                <w:bottom w:val="nil"/>
                <w:right w:val="nil"/>
                <w:between w:val="nil"/>
              </w:pBdr>
              <w:rPr>
                <w:rFonts w:ascii="Arial" w:eastAsia="Arial" w:hAnsi="Arial" w:cs="Arial"/>
                <w:b/>
                <w:color w:val="000000"/>
              </w:rPr>
            </w:pPr>
            <w:r w:rsidRPr="00566D69">
              <w:rPr>
                <w:rFonts w:ascii="Arial" w:eastAsia="Arial" w:hAnsi="Arial" w:cs="Arial"/>
                <w:b/>
                <w:color w:val="000000"/>
              </w:rPr>
              <w:lastRenderedPageBreak/>
              <w:t>Operational management infrastructure</w:t>
            </w:r>
            <w:r w:rsidRPr="00566D69">
              <w:rPr>
                <w:rFonts w:ascii="Arial" w:eastAsia="Arial" w:hAnsi="Arial" w:cs="Arial"/>
                <w:bCs/>
                <w:color w:val="000000"/>
              </w:rPr>
              <w:t>:</w:t>
            </w:r>
          </w:p>
          <w:p w14:paraId="304012E0" w14:textId="77777777" w:rsidR="003F4A02" w:rsidRPr="00566D69" w:rsidDel="00E86F72" w:rsidRDefault="003F4A02">
            <w:pPr>
              <w:pBdr>
                <w:top w:val="nil"/>
                <w:left w:val="nil"/>
                <w:bottom w:val="nil"/>
                <w:right w:val="nil"/>
                <w:between w:val="nil"/>
              </w:pBdr>
              <w:rPr>
                <w:rFonts w:ascii="Arial" w:eastAsia="Arial" w:hAnsi="Arial" w:cs="Arial"/>
                <w:bCs/>
                <w:color w:val="000000"/>
                <w:highlight w:val="yellow"/>
              </w:rPr>
            </w:pPr>
            <w:r w:rsidRPr="00566D69">
              <w:rPr>
                <w:rFonts w:ascii="Arial" w:eastAsia="Arial" w:hAnsi="Arial" w:cs="Arial"/>
                <w:bCs/>
                <w:color w:val="000000"/>
              </w:rPr>
              <w:t xml:space="preserve">Provide evidence of a strong track record for building operational management infrastructure for projects including management of projects, communications, finance, and data. </w:t>
            </w:r>
            <w:r w:rsidRPr="00566D69">
              <w:rPr>
                <w:rFonts w:ascii="Arial" w:eastAsia="Arial" w:hAnsi="Arial" w:cs="Arial"/>
                <w:bCs/>
                <w:i/>
                <w:iCs/>
                <w:color w:val="000000"/>
              </w:rPr>
              <w:t>(250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2520E6AE" w14:textId="77777777" w:rsidR="003F4A02" w:rsidRPr="00566D69" w:rsidRDefault="003F4A02">
            <w:pPr>
              <w:pBdr>
                <w:top w:val="nil"/>
                <w:left w:val="nil"/>
                <w:bottom w:val="nil"/>
                <w:right w:val="nil"/>
                <w:between w:val="nil"/>
              </w:pBdr>
              <w:spacing w:before="230"/>
              <w:rPr>
                <w:rFonts w:ascii="Arial" w:eastAsia="Arial" w:hAnsi="Arial" w:cs="Arial"/>
              </w:rPr>
            </w:pPr>
          </w:p>
        </w:tc>
      </w:tr>
      <w:tr w:rsidR="003F4A02" w:rsidRPr="00566D69" w14:paraId="241D131E" w14:textId="77777777">
        <w:trPr>
          <w:trHeight w:val="1308"/>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14:paraId="476B7145"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b/>
                <w:color w:val="000000"/>
              </w:rPr>
              <w:t>School/trust leadership commitment</w:t>
            </w:r>
            <w:r w:rsidRPr="00566D69">
              <w:rPr>
                <w:rFonts w:ascii="Arial" w:eastAsia="Arial" w:hAnsi="Arial" w:cs="Arial"/>
                <w:color w:val="000000"/>
              </w:rPr>
              <w:t>:</w:t>
            </w:r>
          </w:p>
          <w:p w14:paraId="7FE53669"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color w:val="000000"/>
              </w:rPr>
              <w:t xml:space="preserve">Provide a short statement from the headteacher/principal demonstrating both the school’s commitment and motivation for taking on this system leadership role in mathematics. </w:t>
            </w:r>
            <w:r w:rsidRPr="00566D69">
              <w:rPr>
                <w:rFonts w:ascii="Arial" w:eastAsia="Arial" w:hAnsi="Arial" w:cs="Arial"/>
                <w:i/>
                <w:color w:val="000000"/>
              </w:rPr>
              <w:t>(200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14:paraId="17654BE3" w14:textId="77777777" w:rsidR="003F4A02" w:rsidRPr="00566D69" w:rsidRDefault="003F4A02">
            <w:pPr>
              <w:spacing w:before="240"/>
              <w:rPr>
                <w:rFonts w:ascii="Arial" w:eastAsia="Arial" w:hAnsi="Arial" w:cs="Arial"/>
                <w:b/>
              </w:rPr>
            </w:pPr>
          </w:p>
        </w:tc>
      </w:tr>
    </w:tbl>
    <w:p w14:paraId="0A731C9A" w14:textId="77777777" w:rsidR="003F4A02" w:rsidRPr="00566D69" w:rsidRDefault="003F4A02" w:rsidP="003F4A02">
      <w:pPr>
        <w:pStyle w:val="Heading2"/>
        <w:spacing w:after="0" w:line="288" w:lineRule="auto"/>
        <w:rPr>
          <w:rFonts w:ascii="Arial" w:hAnsi="Arial" w:cs="Arial"/>
        </w:rPr>
      </w:pPr>
      <w:r w:rsidRPr="00566D69">
        <w:rPr>
          <w:rFonts w:ascii="Arial" w:hAnsi="Arial" w:cs="Arial"/>
        </w:rPr>
        <w:t xml:space="preserve">Building leadership capacity </w:t>
      </w:r>
      <w:r w:rsidRPr="00566D69">
        <w:rPr>
          <w:rFonts w:ascii="Arial" w:hAnsi="Arial" w:cs="Arial"/>
        </w:rPr>
        <w:br/>
      </w: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CellMar>
          <w:left w:w="115" w:type="dxa"/>
          <w:right w:w="115" w:type="dxa"/>
        </w:tblCellMar>
        <w:tblLook w:val="0400" w:firstRow="0" w:lastRow="0" w:firstColumn="0" w:lastColumn="0" w:noHBand="0" w:noVBand="1"/>
      </w:tblPr>
      <w:tblGrid>
        <w:gridCol w:w="9854"/>
        <w:gridCol w:w="4076"/>
      </w:tblGrid>
      <w:tr w:rsidR="003F4A02" w:rsidRPr="00566D69" w14:paraId="7085D2F0" w14:textId="77777777">
        <w:trPr>
          <w:trHeight w:val="1602"/>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7D1CE3FC" w14:textId="77777777" w:rsidR="003F4A02" w:rsidRPr="00566D69" w:rsidRDefault="003F4A02">
            <w:pPr>
              <w:pBdr>
                <w:top w:val="nil"/>
                <w:left w:val="nil"/>
                <w:bottom w:val="nil"/>
                <w:right w:val="nil"/>
                <w:between w:val="nil"/>
              </w:pBdr>
              <w:rPr>
                <w:rFonts w:ascii="Arial" w:eastAsia="Arial" w:hAnsi="Arial" w:cs="Arial"/>
              </w:rPr>
            </w:pPr>
            <w:r w:rsidRPr="00566D69">
              <w:rPr>
                <w:rFonts w:ascii="Arial" w:eastAsia="Arial" w:hAnsi="Arial" w:cs="Arial"/>
                <w:b/>
              </w:rPr>
              <w:t>Experience of building collaborative leadership partnerships with other schools and school groups</w:t>
            </w:r>
            <w:r w:rsidRPr="00566D69">
              <w:rPr>
                <w:rFonts w:ascii="Arial" w:eastAsia="Arial" w:hAnsi="Arial" w:cs="Arial"/>
              </w:rPr>
              <w:t xml:space="preserve">: </w:t>
            </w:r>
          </w:p>
          <w:p w14:paraId="5863228C"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color w:val="000000"/>
              </w:rPr>
              <w:t xml:space="preserve">Provide evidence of building leadership partnerships with other schools to bring about wider system impact. Explain how you influenced change and the different approaches and methods you used to achieve system leadership. </w:t>
            </w:r>
            <w:r w:rsidRPr="00566D69">
              <w:rPr>
                <w:rFonts w:ascii="Arial" w:eastAsia="Arial" w:hAnsi="Arial" w:cs="Arial"/>
                <w:i/>
                <w:color w:val="000000"/>
              </w:rPr>
              <w:t>(250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6E313331" w14:textId="77777777" w:rsidR="003F4A02" w:rsidRPr="00566D69" w:rsidRDefault="003F4A02">
            <w:pPr>
              <w:spacing w:before="120"/>
              <w:rPr>
                <w:rFonts w:ascii="Arial" w:eastAsia="Arial" w:hAnsi="Arial" w:cs="Arial"/>
              </w:rPr>
            </w:pPr>
          </w:p>
        </w:tc>
      </w:tr>
      <w:tr w:rsidR="003F4A02" w:rsidRPr="00566D69" w14:paraId="1CB05D68" w14:textId="77777777">
        <w:trPr>
          <w:trHeight w:val="1656"/>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58FA3001" w14:textId="77777777" w:rsidR="003F4A02" w:rsidRPr="00566D69" w:rsidRDefault="003F4A02">
            <w:pPr>
              <w:pBdr>
                <w:top w:val="nil"/>
                <w:left w:val="nil"/>
                <w:bottom w:val="nil"/>
                <w:right w:val="nil"/>
                <w:between w:val="nil"/>
              </w:pBdr>
              <w:rPr>
                <w:rFonts w:ascii="Arial" w:eastAsia="Arial" w:hAnsi="Arial" w:cs="Arial"/>
                <w:b/>
              </w:rPr>
            </w:pPr>
            <w:r w:rsidRPr="00566D69">
              <w:rPr>
                <w:rFonts w:ascii="Arial" w:eastAsia="Arial" w:hAnsi="Arial" w:cs="Arial"/>
                <w:b/>
              </w:rPr>
              <w:t>Developing leadership capacity:</w:t>
            </w:r>
          </w:p>
          <w:p w14:paraId="11108915" w14:textId="77777777" w:rsidR="003F4A02" w:rsidRPr="00566D69" w:rsidRDefault="003F4A02">
            <w:pPr>
              <w:pBdr>
                <w:top w:val="nil"/>
                <w:left w:val="nil"/>
                <w:bottom w:val="nil"/>
                <w:right w:val="nil"/>
                <w:between w:val="nil"/>
              </w:pBdr>
              <w:rPr>
                <w:rFonts w:ascii="Arial" w:eastAsia="Arial" w:hAnsi="Arial" w:cs="Arial"/>
                <w:b/>
                <w:i/>
                <w:iCs/>
                <w:highlight w:val="yellow"/>
              </w:rPr>
            </w:pPr>
            <w:r w:rsidRPr="00566D69">
              <w:rPr>
                <w:rFonts w:ascii="Arial" w:eastAsia="Arial" w:hAnsi="Arial" w:cs="Arial"/>
                <w:bCs/>
              </w:rPr>
              <w:t>Provide evidence of your work in developing mathematics leaders that can work beyond their own institution to support leaders and teachers in other schools (</w:t>
            </w:r>
            <w:proofErr w:type="gramStart"/>
            <w:r w:rsidRPr="00566D69">
              <w:rPr>
                <w:rFonts w:ascii="Arial" w:eastAsia="Arial" w:hAnsi="Arial" w:cs="Arial"/>
                <w:bCs/>
              </w:rPr>
              <w:t>e.g.</w:t>
            </w:r>
            <w:proofErr w:type="gramEnd"/>
            <w:r w:rsidRPr="00566D69">
              <w:rPr>
                <w:rFonts w:ascii="Arial" w:eastAsia="Arial" w:hAnsi="Arial" w:cs="Arial"/>
                <w:bCs/>
              </w:rPr>
              <w:t xml:space="preserve"> local leaders of mathematics education; Maths SLEs; Trust Maths Leads; Maths Lead Practitioners). </w:t>
            </w:r>
            <w:r w:rsidRPr="00566D69">
              <w:rPr>
                <w:rFonts w:ascii="Arial" w:eastAsia="Arial" w:hAnsi="Arial" w:cs="Arial"/>
                <w:bCs/>
                <w:i/>
                <w:iCs/>
              </w:rPr>
              <w:t>(200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4267A1A0" w14:textId="77777777" w:rsidR="003F4A02" w:rsidRPr="00566D69" w:rsidRDefault="003F4A02">
            <w:pPr>
              <w:spacing w:before="120"/>
              <w:rPr>
                <w:rFonts w:ascii="Arial" w:eastAsia="Arial" w:hAnsi="Arial" w:cs="Arial"/>
              </w:rPr>
            </w:pPr>
          </w:p>
        </w:tc>
      </w:tr>
      <w:tr w:rsidR="003F4A02" w:rsidRPr="00566D69" w14:paraId="0B85709B" w14:textId="77777777">
        <w:trPr>
          <w:trHeight w:val="1088"/>
        </w:trPr>
        <w:tc>
          <w:tcPr>
            <w:tcW w:w="3537" w:type="pct"/>
            <w:tcBorders>
              <w:top w:val="single" w:sz="12"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tcPr>
          <w:p w14:paraId="34FC0FEF"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b/>
                <w:color w:val="000000"/>
              </w:rPr>
              <w:t xml:space="preserve">Engagement with the Maths Hubs </w:t>
            </w:r>
            <w:proofErr w:type="spellStart"/>
            <w:r w:rsidRPr="00566D69">
              <w:rPr>
                <w:rFonts w:ascii="Arial" w:eastAsia="Arial" w:hAnsi="Arial" w:cs="Arial"/>
                <w:b/>
                <w:color w:val="000000"/>
              </w:rPr>
              <w:t>Programme</w:t>
            </w:r>
            <w:proofErr w:type="spellEnd"/>
            <w:r w:rsidRPr="00566D69">
              <w:rPr>
                <w:rFonts w:ascii="Arial" w:eastAsia="Arial" w:hAnsi="Arial" w:cs="Arial"/>
                <w:color w:val="000000"/>
              </w:rPr>
              <w:t>:</w:t>
            </w:r>
          </w:p>
          <w:p w14:paraId="44FC23A8" w14:textId="77777777" w:rsidR="003F4A02" w:rsidRPr="00566D69" w:rsidRDefault="003F4A02">
            <w:pPr>
              <w:pBdr>
                <w:top w:val="nil"/>
                <w:left w:val="nil"/>
                <w:bottom w:val="nil"/>
                <w:right w:val="nil"/>
                <w:between w:val="nil"/>
              </w:pBdr>
              <w:rPr>
                <w:rFonts w:ascii="Arial" w:eastAsia="Arial" w:hAnsi="Arial" w:cs="Arial"/>
                <w:color w:val="000000"/>
              </w:rPr>
            </w:pPr>
            <w:r w:rsidRPr="00566D69">
              <w:rPr>
                <w:rFonts w:ascii="Arial" w:eastAsia="Arial" w:hAnsi="Arial" w:cs="Arial"/>
                <w:color w:val="000000"/>
              </w:rPr>
              <w:t xml:space="preserve">Provide evidence of your track record in engaging with and contributing to the work of the Maths Hub. </w:t>
            </w:r>
            <w:r w:rsidRPr="00566D69">
              <w:rPr>
                <w:rFonts w:ascii="Arial" w:eastAsia="Arial" w:hAnsi="Arial" w:cs="Arial"/>
                <w:i/>
                <w:iCs/>
                <w:color w:val="000000"/>
              </w:rPr>
              <w:t>(200 words maximum)</w:t>
            </w:r>
          </w:p>
        </w:tc>
        <w:tc>
          <w:tcPr>
            <w:tcW w:w="1463" w:type="pct"/>
            <w:tcBorders>
              <w:top w:val="single" w:sz="12"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tcPr>
          <w:p w14:paraId="17F0CA16" w14:textId="77777777" w:rsidR="003F4A02" w:rsidRPr="00566D69" w:rsidRDefault="003F4A02">
            <w:pPr>
              <w:pBdr>
                <w:top w:val="nil"/>
                <w:left w:val="nil"/>
                <w:bottom w:val="nil"/>
                <w:right w:val="nil"/>
                <w:between w:val="nil"/>
              </w:pBdr>
              <w:spacing w:before="120"/>
              <w:rPr>
                <w:rFonts w:ascii="Arial" w:hAnsi="Arial" w:cs="Arial"/>
                <w:color w:val="000000"/>
              </w:rPr>
            </w:pPr>
            <w:r w:rsidRPr="00566D69">
              <w:rPr>
                <w:rFonts w:ascii="Arial" w:eastAsia="Arial" w:hAnsi="Arial" w:cs="Arial"/>
                <w:color w:val="000000"/>
              </w:rPr>
              <w:t xml:space="preserve"> </w:t>
            </w:r>
          </w:p>
        </w:tc>
      </w:tr>
    </w:tbl>
    <w:p w14:paraId="18A8C4A1" w14:textId="77777777" w:rsidR="00173418" w:rsidRPr="00AF1C07" w:rsidRDefault="00173418" w:rsidP="0071149A">
      <w:pPr>
        <w:pStyle w:val="DeptBullets"/>
        <w:numPr>
          <w:ilvl w:val="0"/>
          <w:numId w:val="0"/>
        </w:numPr>
      </w:pPr>
    </w:p>
    <w:sectPr w:rsidR="00173418" w:rsidRPr="00AF1C07" w:rsidSect="00E9295A">
      <w:pgSz w:w="16840" w:h="11900" w:orient="landscape"/>
      <w:pgMar w:top="1440" w:right="1440" w:bottom="1440" w:left="144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01AA8" w14:textId="77777777" w:rsidR="00891366" w:rsidRDefault="00891366">
      <w:r>
        <w:separator/>
      </w:r>
    </w:p>
  </w:endnote>
  <w:endnote w:type="continuationSeparator" w:id="0">
    <w:p w14:paraId="2D416E25" w14:textId="77777777" w:rsidR="00891366" w:rsidRDefault="00891366">
      <w:r>
        <w:continuationSeparator/>
      </w:r>
    </w:p>
  </w:endnote>
  <w:endnote w:type="continuationNotice" w:id="1">
    <w:p w14:paraId="14372C62" w14:textId="77777777" w:rsidR="00891366" w:rsidRDefault="008913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Marlett">
    <w:panose1 w:val="00000000000000000000"/>
    <w:charset w:val="02"/>
    <w:family w:val="auto"/>
    <w:pitch w:val="variable"/>
    <w:sig w:usb0="00000000" w:usb1="10000000" w:usb2="00000000" w:usb3="00000000" w:csb0="80000000"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5623364"/>
      <w:docPartObj>
        <w:docPartGallery w:val="Page Numbers (Bottom of Page)"/>
        <w:docPartUnique/>
      </w:docPartObj>
    </w:sdtPr>
    <w:sdtEndPr>
      <w:rPr>
        <w:noProof/>
      </w:rPr>
    </w:sdtEndPr>
    <w:sdtContent>
      <w:p w14:paraId="147CFCE1" w14:textId="77777777" w:rsidR="00264961" w:rsidRDefault="001A0397">
        <w:pPr>
          <w:pStyle w:val="Footer"/>
          <w:jc w:val="right"/>
        </w:pPr>
        <w:r>
          <w:fldChar w:fldCharType="begin"/>
        </w:r>
        <w:r>
          <w:instrText xml:space="preserve"> PAGE   \* MERGEFORMAT </w:instrText>
        </w:r>
        <w:r>
          <w:fldChar w:fldCharType="separate"/>
        </w:r>
        <w:r w:rsidR="00354476">
          <w:rPr>
            <w:noProof/>
          </w:rPr>
          <w:t>1</w:t>
        </w:r>
        <w:r>
          <w:rPr>
            <w:noProof/>
          </w:rPr>
          <w:fldChar w:fldCharType="end"/>
        </w:r>
      </w:p>
    </w:sdtContent>
  </w:sdt>
  <w:p w14:paraId="19FE0EE5" w14:textId="77777777" w:rsidR="00264961" w:rsidRDefault="0026496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2F781" w14:textId="77777777" w:rsidR="00264961" w:rsidRDefault="00264961">
    <w:pPr>
      <w:pBdr>
        <w:top w:val="nil"/>
        <w:left w:val="nil"/>
        <w:bottom w:val="nil"/>
        <w:right w:val="nil"/>
        <w:between w:val="nil"/>
      </w:pBdr>
      <w:tabs>
        <w:tab w:val="right" w:pos="9020"/>
      </w:tabs>
      <w:rPr>
        <w:rFonts w:ascii="Helvetica Neue" w:eastAsia="Helvetica Neue" w:hAnsi="Helvetica Neue" w:cs="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D55D4" w14:textId="77777777" w:rsidR="00891366" w:rsidRDefault="00891366">
      <w:r>
        <w:separator/>
      </w:r>
    </w:p>
  </w:footnote>
  <w:footnote w:type="continuationSeparator" w:id="0">
    <w:p w14:paraId="647E2FFC" w14:textId="77777777" w:rsidR="00891366" w:rsidRDefault="00891366">
      <w:r>
        <w:continuationSeparator/>
      </w:r>
    </w:p>
  </w:footnote>
  <w:footnote w:type="continuationNotice" w:id="1">
    <w:p w14:paraId="2383B5C1" w14:textId="77777777" w:rsidR="00891366" w:rsidRDefault="008913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72EDD"/>
    <w:multiLevelType w:val="hybridMultilevel"/>
    <w:tmpl w:val="2AF2D1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4622525"/>
    <w:multiLevelType w:val="hybridMultilevel"/>
    <w:tmpl w:val="5156B1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 w15:restartNumberingAfterBreak="0">
    <w:nsid w:val="1C0F1E8E"/>
    <w:multiLevelType w:val="hybridMultilevel"/>
    <w:tmpl w:val="DCD22904"/>
    <w:lvl w:ilvl="0" w:tplc="6C86D318">
      <w:start w:val="1"/>
      <w:numFmt w:val="bullet"/>
      <w:lvlText w:val=""/>
      <w:lvlJc w:val="left"/>
      <w:pPr>
        <w:tabs>
          <w:tab w:val="num" w:pos="720"/>
        </w:tabs>
        <w:ind w:left="720" w:hanging="360"/>
      </w:pPr>
      <w:rPr>
        <w:rFonts w:ascii="Symbol" w:hAnsi="Symbol" w:hint="default"/>
        <w:sz w:val="20"/>
      </w:rPr>
    </w:lvl>
    <w:lvl w:ilvl="1" w:tplc="F9E43568" w:tentative="1">
      <w:start w:val="1"/>
      <w:numFmt w:val="bullet"/>
      <w:lvlText w:val=""/>
      <w:lvlJc w:val="left"/>
      <w:pPr>
        <w:tabs>
          <w:tab w:val="num" w:pos="1440"/>
        </w:tabs>
        <w:ind w:left="1440" w:hanging="360"/>
      </w:pPr>
      <w:rPr>
        <w:rFonts w:ascii="Symbol" w:hAnsi="Symbol" w:hint="default"/>
        <w:sz w:val="20"/>
      </w:rPr>
    </w:lvl>
    <w:lvl w:ilvl="2" w:tplc="4782B82E" w:tentative="1">
      <w:start w:val="1"/>
      <w:numFmt w:val="bullet"/>
      <w:lvlText w:val=""/>
      <w:lvlJc w:val="left"/>
      <w:pPr>
        <w:tabs>
          <w:tab w:val="num" w:pos="2160"/>
        </w:tabs>
        <w:ind w:left="2160" w:hanging="360"/>
      </w:pPr>
      <w:rPr>
        <w:rFonts w:ascii="Symbol" w:hAnsi="Symbol" w:hint="default"/>
        <w:sz w:val="20"/>
      </w:rPr>
    </w:lvl>
    <w:lvl w:ilvl="3" w:tplc="5E068D26" w:tentative="1">
      <w:start w:val="1"/>
      <w:numFmt w:val="bullet"/>
      <w:lvlText w:val=""/>
      <w:lvlJc w:val="left"/>
      <w:pPr>
        <w:tabs>
          <w:tab w:val="num" w:pos="2880"/>
        </w:tabs>
        <w:ind w:left="2880" w:hanging="360"/>
      </w:pPr>
      <w:rPr>
        <w:rFonts w:ascii="Symbol" w:hAnsi="Symbol" w:hint="default"/>
        <w:sz w:val="20"/>
      </w:rPr>
    </w:lvl>
    <w:lvl w:ilvl="4" w:tplc="61B86AF4" w:tentative="1">
      <w:start w:val="1"/>
      <w:numFmt w:val="bullet"/>
      <w:lvlText w:val=""/>
      <w:lvlJc w:val="left"/>
      <w:pPr>
        <w:tabs>
          <w:tab w:val="num" w:pos="3600"/>
        </w:tabs>
        <w:ind w:left="3600" w:hanging="360"/>
      </w:pPr>
      <w:rPr>
        <w:rFonts w:ascii="Symbol" w:hAnsi="Symbol" w:hint="default"/>
        <w:sz w:val="20"/>
      </w:rPr>
    </w:lvl>
    <w:lvl w:ilvl="5" w:tplc="94305D30" w:tentative="1">
      <w:start w:val="1"/>
      <w:numFmt w:val="bullet"/>
      <w:lvlText w:val=""/>
      <w:lvlJc w:val="left"/>
      <w:pPr>
        <w:tabs>
          <w:tab w:val="num" w:pos="4320"/>
        </w:tabs>
        <w:ind w:left="4320" w:hanging="360"/>
      </w:pPr>
      <w:rPr>
        <w:rFonts w:ascii="Symbol" w:hAnsi="Symbol" w:hint="default"/>
        <w:sz w:val="20"/>
      </w:rPr>
    </w:lvl>
    <w:lvl w:ilvl="6" w:tplc="6E9CF780" w:tentative="1">
      <w:start w:val="1"/>
      <w:numFmt w:val="bullet"/>
      <w:lvlText w:val=""/>
      <w:lvlJc w:val="left"/>
      <w:pPr>
        <w:tabs>
          <w:tab w:val="num" w:pos="5040"/>
        </w:tabs>
        <w:ind w:left="5040" w:hanging="360"/>
      </w:pPr>
      <w:rPr>
        <w:rFonts w:ascii="Symbol" w:hAnsi="Symbol" w:hint="default"/>
        <w:sz w:val="20"/>
      </w:rPr>
    </w:lvl>
    <w:lvl w:ilvl="7" w:tplc="7A0E0B22" w:tentative="1">
      <w:start w:val="1"/>
      <w:numFmt w:val="bullet"/>
      <w:lvlText w:val=""/>
      <w:lvlJc w:val="left"/>
      <w:pPr>
        <w:tabs>
          <w:tab w:val="num" w:pos="5760"/>
        </w:tabs>
        <w:ind w:left="5760" w:hanging="360"/>
      </w:pPr>
      <w:rPr>
        <w:rFonts w:ascii="Symbol" w:hAnsi="Symbol" w:hint="default"/>
        <w:sz w:val="20"/>
      </w:rPr>
    </w:lvl>
    <w:lvl w:ilvl="8" w:tplc="6C9ACE20"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427FC9"/>
    <w:multiLevelType w:val="hybridMultilevel"/>
    <w:tmpl w:val="35E64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B2529"/>
    <w:multiLevelType w:val="multilevel"/>
    <w:tmpl w:val="65722B18"/>
    <w:lvl w:ilvl="0">
      <w:start w:val="1"/>
      <w:numFmt w:val="decimal"/>
      <w:lvlRestart w:val="0"/>
      <w:pStyle w:val="Dept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6" w15:restartNumberingAfterBreak="0">
    <w:nsid w:val="300D1BF7"/>
    <w:multiLevelType w:val="hybridMultilevel"/>
    <w:tmpl w:val="057CD1E2"/>
    <w:lvl w:ilvl="0" w:tplc="5D84E8BA">
      <w:start w:val="1"/>
      <w:numFmt w:val="decimal"/>
      <w:lvlText w:val="%1"/>
      <w:lvlJc w:val="left"/>
      <w:pPr>
        <w:ind w:left="567" w:hanging="567"/>
      </w:pPr>
      <w:rPr>
        <w:rFonts w:ascii="Arial" w:hAnsi="Arial" w:cs="Arial" w:hint="default"/>
        <w:b w:val="0"/>
        <w:bCs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043DF2"/>
    <w:multiLevelType w:val="hybridMultilevel"/>
    <w:tmpl w:val="F15E2A6E"/>
    <w:lvl w:ilvl="0" w:tplc="9A2610AC">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C2476A2"/>
    <w:multiLevelType w:val="hybridMultilevel"/>
    <w:tmpl w:val="1018C056"/>
    <w:lvl w:ilvl="0" w:tplc="46881B88">
      <w:start w:val="1"/>
      <w:numFmt w:val="bullet"/>
      <w:lvlText w:val=""/>
      <w:lvlJc w:val="left"/>
      <w:pPr>
        <w:tabs>
          <w:tab w:val="num" w:pos="720"/>
        </w:tabs>
        <w:ind w:left="720" w:hanging="360"/>
      </w:pPr>
      <w:rPr>
        <w:rFonts w:ascii="Symbol" w:hAnsi="Symbol" w:hint="default"/>
        <w:sz w:val="20"/>
      </w:rPr>
    </w:lvl>
    <w:lvl w:ilvl="1" w:tplc="81A89066" w:tentative="1">
      <w:start w:val="1"/>
      <w:numFmt w:val="bullet"/>
      <w:lvlText w:val=""/>
      <w:lvlJc w:val="left"/>
      <w:pPr>
        <w:tabs>
          <w:tab w:val="num" w:pos="1440"/>
        </w:tabs>
        <w:ind w:left="1440" w:hanging="360"/>
      </w:pPr>
      <w:rPr>
        <w:rFonts w:ascii="Symbol" w:hAnsi="Symbol" w:hint="default"/>
        <w:sz w:val="20"/>
      </w:rPr>
    </w:lvl>
    <w:lvl w:ilvl="2" w:tplc="06A8D35E" w:tentative="1">
      <w:start w:val="1"/>
      <w:numFmt w:val="bullet"/>
      <w:lvlText w:val=""/>
      <w:lvlJc w:val="left"/>
      <w:pPr>
        <w:tabs>
          <w:tab w:val="num" w:pos="2160"/>
        </w:tabs>
        <w:ind w:left="2160" w:hanging="360"/>
      </w:pPr>
      <w:rPr>
        <w:rFonts w:ascii="Symbol" w:hAnsi="Symbol" w:hint="default"/>
        <w:sz w:val="20"/>
      </w:rPr>
    </w:lvl>
    <w:lvl w:ilvl="3" w:tplc="4BA2F65A" w:tentative="1">
      <w:start w:val="1"/>
      <w:numFmt w:val="bullet"/>
      <w:lvlText w:val=""/>
      <w:lvlJc w:val="left"/>
      <w:pPr>
        <w:tabs>
          <w:tab w:val="num" w:pos="2880"/>
        </w:tabs>
        <w:ind w:left="2880" w:hanging="360"/>
      </w:pPr>
      <w:rPr>
        <w:rFonts w:ascii="Symbol" w:hAnsi="Symbol" w:hint="default"/>
        <w:sz w:val="20"/>
      </w:rPr>
    </w:lvl>
    <w:lvl w:ilvl="4" w:tplc="8056D5D8" w:tentative="1">
      <w:start w:val="1"/>
      <w:numFmt w:val="bullet"/>
      <w:lvlText w:val=""/>
      <w:lvlJc w:val="left"/>
      <w:pPr>
        <w:tabs>
          <w:tab w:val="num" w:pos="3600"/>
        </w:tabs>
        <w:ind w:left="3600" w:hanging="360"/>
      </w:pPr>
      <w:rPr>
        <w:rFonts w:ascii="Symbol" w:hAnsi="Symbol" w:hint="default"/>
        <w:sz w:val="20"/>
      </w:rPr>
    </w:lvl>
    <w:lvl w:ilvl="5" w:tplc="5C8AAB6C" w:tentative="1">
      <w:start w:val="1"/>
      <w:numFmt w:val="bullet"/>
      <w:lvlText w:val=""/>
      <w:lvlJc w:val="left"/>
      <w:pPr>
        <w:tabs>
          <w:tab w:val="num" w:pos="4320"/>
        </w:tabs>
        <w:ind w:left="4320" w:hanging="360"/>
      </w:pPr>
      <w:rPr>
        <w:rFonts w:ascii="Symbol" w:hAnsi="Symbol" w:hint="default"/>
        <w:sz w:val="20"/>
      </w:rPr>
    </w:lvl>
    <w:lvl w:ilvl="6" w:tplc="FCAE4F28" w:tentative="1">
      <w:start w:val="1"/>
      <w:numFmt w:val="bullet"/>
      <w:lvlText w:val=""/>
      <w:lvlJc w:val="left"/>
      <w:pPr>
        <w:tabs>
          <w:tab w:val="num" w:pos="5040"/>
        </w:tabs>
        <w:ind w:left="5040" w:hanging="360"/>
      </w:pPr>
      <w:rPr>
        <w:rFonts w:ascii="Symbol" w:hAnsi="Symbol" w:hint="default"/>
        <w:sz w:val="20"/>
      </w:rPr>
    </w:lvl>
    <w:lvl w:ilvl="7" w:tplc="22522076" w:tentative="1">
      <w:start w:val="1"/>
      <w:numFmt w:val="bullet"/>
      <w:lvlText w:val=""/>
      <w:lvlJc w:val="left"/>
      <w:pPr>
        <w:tabs>
          <w:tab w:val="num" w:pos="5760"/>
        </w:tabs>
        <w:ind w:left="5760" w:hanging="360"/>
      </w:pPr>
      <w:rPr>
        <w:rFonts w:ascii="Symbol" w:hAnsi="Symbol" w:hint="default"/>
        <w:sz w:val="20"/>
      </w:rPr>
    </w:lvl>
    <w:lvl w:ilvl="8" w:tplc="D93C632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0775C37"/>
    <w:multiLevelType w:val="hybridMultilevel"/>
    <w:tmpl w:val="A6605478"/>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79740B"/>
    <w:multiLevelType w:val="hybridMultilevel"/>
    <w:tmpl w:val="5A5030B6"/>
    <w:lvl w:ilvl="0" w:tplc="08090019">
      <w:start w:val="1"/>
      <w:numFmt w:val="lowerLetter"/>
      <w:lvlText w:val="%1."/>
      <w:lvlJc w:val="left"/>
      <w:pPr>
        <w:ind w:left="360" w:hanging="360"/>
      </w:pPr>
    </w:lvl>
    <w:lvl w:ilvl="1" w:tplc="FFFFFFFF">
      <w:start w:val="1"/>
      <w:numFmt w:val="bullet"/>
      <w:lvlText w:val=""/>
      <w:lvlJc w:val="left"/>
      <w:pPr>
        <w:ind w:left="1080" w:hanging="360"/>
      </w:pPr>
      <w:rPr>
        <w:rFonts w:ascii="Symbol" w:hAnsi="Symbol" w:hint="default"/>
      </w:r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1" w15:restartNumberingAfterBreak="0">
    <w:nsid w:val="43445D2C"/>
    <w:multiLevelType w:val="hybridMultilevel"/>
    <w:tmpl w:val="43A0D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6F61590"/>
    <w:multiLevelType w:val="hybridMultilevel"/>
    <w:tmpl w:val="DFA44270"/>
    <w:lvl w:ilvl="0" w:tplc="AB8829D8">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tplc="B0D207F4">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tplc="9E66277E">
      <w:start w:val="1"/>
      <w:numFmt w:val="bullet"/>
      <w:lvlText w:val="•"/>
      <w:lvlJc w:val="left"/>
      <w:pPr>
        <w:ind w:left="1800" w:hanging="180"/>
      </w:pPr>
      <w:rPr>
        <w:rFonts w:ascii="Noto Sans Symbols" w:eastAsia="Noto Sans Symbols" w:hAnsi="Noto Sans Symbols" w:cs="Noto Sans Symbols"/>
        <w:b w:val="0"/>
        <w:i w:val="0"/>
        <w:smallCaps w:val="0"/>
        <w:strike w:val="0"/>
        <w:shd w:val="clear" w:color="auto" w:fill="auto"/>
        <w:vertAlign w:val="baseline"/>
      </w:rPr>
    </w:lvl>
    <w:lvl w:ilvl="3" w:tplc="61E879A0">
      <w:start w:val="1"/>
      <w:numFmt w:val="bullet"/>
      <w:lvlText w:val="•"/>
      <w:lvlJc w:val="left"/>
      <w:pPr>
        <w:ind w:left="2610" w:hanging="180"/>
      </w:pPr>
      <w:rPr>
        <w:rFonts w:ascii="Noto Sans Symbols" w:eastAsia="Noto Sans Symbols" w:hAnsi="Noto Sans Symbols" w:cs="Noto Sans Symbols"/>
        <w:b w:val="0"/>
        <w:i w:val="0"/>
        <w:smallCaps w:val="0"/>
        <w:strike w:val="0"/>
        <w:shd w:val="clear" w:color="auto" w:fill="auto"/>
        <w:vertAlign w:val="baseline"/>
      </w:rPr>
    </w:lvl>
    <w:lvl w:ilvl="4" w:tplc="6F941E82">
      <w:start w:val="1"/>
      <w:numFmt w:val="bullet"/>
      <w:lvlText w:val="•"/>
      <w:lvlJc w:val="left"/>
      <w:pPr>
        <w:ind w:left="3420" w:hanging="180"/>
      </w:pPr>
      <w:rPr>
        <w:rFonts w:ascii="Noto Sans Symbols" w:eastAsia="Noto Sans Symbols" w:hAnsi="Noto Sans Symbols" w:cs="Noto Sans Symbols"/>
        <w:b w:val="0"/>
        <w:i w:val="0"/>
        <w:smallCaps w:val="0"/>
        <w:strike w:val="0"/>
        <w:shd w:val="clear" w:color="auto" w:fill="auto"/>
        <w:vertAlign w:val="baseline"/>
      </w:rPr>
    </w:lvl>
    <w:lvl w:ilvl="5" w:tplc="A9466790">
      <w:start w:val="1"/>
      <w:numFmt w:val="bullet"/>
      <w:lvlText w:val="•"/>
      <w:lvlJc w:val="left"/>
      <w:pPr>
        <w:ind w:left="4230" w:hanging="180"/>
      </w:pPr>
      <w:rPr>
        <w:rFonts w:ascii="Noto Sans Symbols" w:eastAsia="Noto Sans Symbols" w:hAnsi="Noto Sans Symbols" w:cs="Noto Sans Symbols"/>
        <w:b w:val="0"/>
        <w:i w:val="0"/>
        <w:smallCaps w:val="0"/>
        <w:strike w:val="0"/>
        <w:shd w:val="clear" w:color="auto" w:fill="auto"/>
        <w:vertAlign w:val="baseline"/>
      </w:rPr>
    </w:lvl>
    <w:lvl w:ilvl="6" w:tplc="934AFD6E">
      <w:start w:val="1"/>
      <w:numFmt w:val="bullet"/>
      <w:lvlText w:val="•"/>
      <w:lvlJc w:val="left"/>
      <w:pPr>
        <w:ind w:left="5040" w:hanging="180"/>
      </w:pPr>
      <w:rPr>
        <w:rFonts w:ascii="Noto Sans Symbols" w:eastAsia="Noto Sans Symbols" w:hAnsi="Noto Sans Symbols" w:cs="Noto Sans Symbols"/>
        <w:b w:val="0"/>
        <w:i w:val="0"/>
        <w:smallCaps w:val="0"/>
        <w:strike w:val="0"/>
        <w:shd w:val="clear" w:color="auto" w:fill="auto"/>
        <w:vertAlign w:val="baseline"/>
      </w:rPr>
    </w:lvl>
    <w:lvl w:ilvl="7" w:tplc="F358405A">
      <w:start w:val="1"/>
      <w:numFmt w:val="bullet"/>
      <w:lvlText w:val="•"/>
      <w:lvlJc w:val="left"/>
      <w:pPr>
        <w:ind w:left="5850" w:hanging="180"/>
      </w:pPr>
      <w:rPr>
        <w:rFonts w:ascii="Noto Sans Symbols" w:eastAsia="Noto Sans Symbols" w:hAnsi="Noto Sans Symbols" w:cs="Noto Sans Symbols"/>
        <w:b w:val="0"/>
        <w:i w:val="0"/>
        <w:smallCaps w:val="0"/>
        <w:strike w:val="0"/>
        <w:shd w:val="clear" w:color="auto" w:fill="auto"/>
        <w:vertAlign w:val="baseline"/>
      </w:rPr>
    </w:lvl>
    <w:lvl w:ilvl="8" w:tplc="439287A2">
      <w:start w:val="1"/>
      <w:numFmt w:val="bullet"/>
      <w:lvlText w:val="•"/>
      <w:lvlJc w:val="left"/>
      <w:pPr>
        <w:ind w:left="6660" w:hanging="180"/>
      </w:pPr>
      <w:rPr>
        <w:rFonts w:ascii="Noto Sans Symbols" w:eastAsia="Noto Sans Symbols" w:hAnsi="Noto Sans Symbols" w:cs="Noto Sans Symbols"/>
        <w:b w:val="0"/>
        <w:i w:val="0"/>
        <w:smallCaps w:val="0"/>
        <w:strike w:val="0"/>
        <w:shd w:val="clear" w:color="auto" w:fill="auto"/>
        <w:vertAlign w:val="baseline"/>
      </w:rPr>
    </w:lvl>
  </w:abstractNum>
  <w:abstractNum w:abstractNumId="13"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4" w15:restartNumberingAfterBreak="0">
    <w:nsid w:val="48356D2D"/>
    <w:multiLevelType w:val="hybridMultilevel"/>
    <w:tmpl w:val="2CAADECA"/>
    <w:lvl w:ilvl="0" w:tplc="FFFFFFFF">
      <w:start w:val="1"/>
      <w:numFmt w:val="decimal"/>
      <w:lvlText w:val="%1."/>
      <w:lvlJc w:val="left"/>
      <w:pPr>
        <w:ind w:left="360" w:hanging="360"/>
      </w:pPr>
    </w:lvl>
    <w:lvl w:ilvl="1" w:tplc="FFFFFFFF">
      <w:start w:val="1"/>
      <w:numFmt w:val="lowerRoman"/>
      <w:lvlText w:val="%2."/>
      <w:lvlJc w:val="right"/>
      <w:pPr>
        <w:ind w:left="1080" w:hanging="360"/>
      </w:pPr>
    </w:lvl>
    <w:lvl w:ilvl="2" w:tplc="08090001">
      <w:start w:val="1"/>
      <w:numFmt w:val="bullet"/>
      <w:lvlText w:val=""/>
      <w:lvlJc w:val="left"/>
      <w:pPr>
        <w:ind w:left="1800" w:hanging="360"/>
      </w:pPr>
      <w:rPr>
        <w:rFonts w:ascii="Symbol" w:hAnsi="Symbol" w:hint="default"/>
      </w:rPr>
    </w:lvl>
    <w:lvl w:ilvl="3" w:tplc="FFFFFFFF">
      <w:start w:val="1"/>
      <w:numFmt w:val="decimal"/>
      <w:lvlText w:val="%4."/>
      <w:lvlJc w:val="left"/>
      <w:pPr>
        <w:ind w:left="2520" w:hanging="360"/>
      </w:pPr>
    </w:lvl>
    <w:lvl w:ilvl="4" w:tplc="FFFFFFFF">
      <w:start w:val="1"/>
      <w:numFmt w:val="decimal"/>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5" w15:restartNumberingAfterBreak="0">
    <w:nsid w:val="4F5B2CB7"/>
    <w:multiLevelType w:val="hybridMultilevel"/>
    <w:tmpl w:val="238E655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4FE079E8"/>
    <w:multiLevelType w:val="hybridMultilevel"/>
    <w:tmpl w:val="1C3EE56E"/>
    <w:lvl w:ilvl="0" w:tplc="541E9D0A">
      <w:start w:val="1"/>
      <w:numFmt w:val="bullet"/>
      <w:lvlText w:val=""/>
      <w:lvlJc w:val="left"/>
      <w:pPr>
        <w:tabs>
          <w:tab w:val="num" w:pos="720"/>
        </w:tabs>
        <w:ind w:left="720" w:hanging="360"/>
      </w:pPr>
      <w:rPr>
        <w:rFonts w:ascii="Symbol" w:hAnsi="Symbol" w:hint="default"/>
        <w:sz w:val="20"/>
      </w:rPr>
    </w:lvl>
    <w:lvl w:ilvl="1" w:tplc="F0E0602E" w:tentative="1">
      <w:start w:val="1"/>
      <w:numFmt w:val="bullet"/>
      <w:lvlText w:val=""/>
      <w:lvlJc w:val="left"/>
      <w:pPr>
        <w:tabs>
          <w:tab w:val="num" w:pos="1440"/>
        </w:tabs>
        <w:ind w:left="1440" w:hanging="360"/>
      </w:pPr>
      <w:rPr>
        <w:rFonts w:ascii="Symbol" w:hAnsi="Symbol" w:hint="default"/>
        <w:sz w:val="20"/>
      </w:rPr>
    </w:lvl>
    <w:lvl w:ilvl="2" w:tplc="30186ECA" w:tentative="1">
      <w:start w:val="1"/>
      <w:numFmt w:val="bullet"/>
      <w:lvlText w:val=""/>
      <w:lvlJc w:val="left"/>
      <w:pPr>
        <w:tabs>
          <w:tab w:val="num" w:pos="2160"/>
        </w:tabs>
        <w:ind w:left="2160" w:hanging="360"/>
      </w:pPr>
      <w:rPr>
        <w:rFonts w:ascii="Symbol" w:hAnsi="Symbol" w:hint="default"/>
        <w:sz w:val="20"/>
      </w:rPr>
    </w:lvl>
    <w:lvl w:ilvl="3" w:tplc="AAB09876" w:tentative="1">
      <w:start w:val="1"/>
      <w:numFmt w:val="bullet"/>
      <w:lvlText w:val=""/>
      <w:lvlJc w:val="left"/>
      <w:pPr>
        <w:tabs>
          <w:tab w:val="num" w:pos="2880"/>
        </w:tabs>
        <w:ind w:left="2880" w:hanging="360"/>
      </w:pPr>
      <w:rPr>
        <w:rFonts w:ascii="Symbol" w:hAnsi="Symbol" w:hint="default"/>
        <w:sz w:val="20"/>
      </w:rPr>
    </w:lvl>
    <w:lvl w:ilvl="4" w:tplc="50D2F8FE" w:tentative="1">
      <w:start w:val="1"/>
      <w:numFmt w:val="bullet"/>
      <w:lvlText w:val=""/>
      <w:lvlJc w:val="left"/>
      <w:pPr>
        <w:tabs>
          <w:tab w:val="num" w:pos="3600"/>
        </w:tabs>
        <w:ind w:left="3600" w:hanging="360"/>
      </w:pPr>
      <w:rPr>
        <w:rFonts w:ascii="Symbol" w:hAnsi="Symbol" w:hint="default"/>
        <w:sz w:val="20"/>
      </w:rPr>
    </w:lvl>
    <w:lvl w:ilvl="5" w:tplc="ED569872" w:tentative="1">
      <w:start w:val="1"/>
      <w:numFmt w:val="bullet"/>
      <w:lvlText w:val=""/>
      <w:lvlJc w:val="left"/>
      <w:pPr>
        <w:tabs>
          <w:tab w:val="num" w:pos="4320"/>
        </w:tabs>
        <w:ind w:left="4320" w:hanging="360"/>
      </w:pPr>
      <w:rPr>
        <w:rFonts w:ascii="Symbol" w:hAnsi="Symbol" w:hint="default"/>
        <w:sz w:val="20"/>
      </w:rPr>
    </w:lvl>
    <w:lvl w:ilvl="6" w:tplc="D6365622" w:tentative="1">
      <w:start w:val="1"/>
      <w:numFmt w:val="bullet"/>
      <w:lvlText w:val=""/>
      <w:lvlJc w:val="left"/>
      <w:pPr>
        <w:tabs>
          <w:tab w:val="num" w:pos="5040"/>
        </w:tabs>
        <w:ind w:left="5040" w:hanging="360"/>
      </w:pPr>
      <w:rPr>
        <w:rFonts w:ascii="Symbol" w:hAnsi="Symbol" w:hint="default"/>
        <w:sz w:val="20"/>
      </w:rPr>
    </w:lvl>
    <w:lvl w:ilvl="7" w:tplc="DB584A0C" w:tentative="1">
      <w:start w:val="1"/>
      <w:numFmt w:val="bullet"/>
      <w:lvlText w:val=""/>
      <w:lvlJc w:val="left"/>
      <w:pPr>
        <w:tabs>
          <w:tab w:val="num" w:pos="5760"/>
        </w:tabs>
        <w:ind w:left="5760" w:hanging="360"/>
      </w:pPr>
      <w:rPr>
        <w:rFonts w:ascii="Symbol" w:hAnsi="Symbol" w:hint="default"/>
        <w:sz w:val="20"/>
      </w:rPr>
    </w:lvl>
    <w:lvl w:ilvl="8" w:tplc="38E2C75A"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9042462"/>
    <w:multiLevelType w:val="hybridMultilevel"/>
    <w:tmpl w:val="F21A9392"/>
    <w:lvl w:ilvl="0" w:tplc="79A87EFA">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C47925"/>
    <w:multiLevelType w:val="hybridMultilevel"/>
    <w:tmpl w:val="3C8C32B2"/>
    <w:lvl w:ilvl="0" w:tplc="08090001">
      <w:start w:val="1"/>
      <w:numFmt w:val="bullet"/>
      <w:lvlText w:val=""/>
      <w:lvlJc w:val="left"/>
      <w:pPr>
        <w:ind w:left="1800" w:hanging="360"/>
      </w:pPr>
      <w:rPr>
        <w:rFonts w:ascii="Symbol" w:hAnsi="Symbol"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20" w15:restartNumberingAfterBreak="0">
    <w:nsid w:val="61497629"/>
    <w:multiLevelType w:val="hybridMultilevel"/>
    <w:tmpl w:val="96D020F6"/>
    <w:lvl w:ilvl="0" w:tplc="5284FA04">
      <w:start w:val="1"/>
      <w:numFmt w:val="bullet"/>
      <w:lvlText w:val=""/>
      <w:lvlJc w:val="left"/>
      <w:pPr>
        <w:tabs>
          <w:tab w:val="num" w:pos="720"/>
        </w:tabs>
        <w:ind w:left="720" w:hanging="360"/>
      </w:pPr>
      <w:rPr>
        <w:rFonts w:ascii="Symbol" w:hAnsi="Symbol" w:hint="default"/>
        <w:sz w:val="20"/>
      </w:rPr>
    </w:lvl>
    <w:lvl w:ilvl="1" w:tplc="F1EEBF3C" w:tentative="1">
      <w:start w:val="1"/>
      <w:numFmt w:val="bullet"/>
      <w:lvlText w:val=""/>
      <w:lvlJc w:val="left"/>
      <w:pPr>
        <w:tabs>
          <w:tab w:val="num" w:pos="1440"/>
        </w:tabs>
        <w:ind w:left="1440" w:hanging="360"/>
      </w:pPr>
      <w:rPr>
        <w:rFonts w:ascii="Symbol" w:hAnsi="Symbol" w:hint="default"/>
        <w:sz w:val="20"/>
      </w:rPr>
    </w:lvl>
    <w:lvl w:ilvl="2" w:tplc="FF54CC5A" w:tentative="1">
      <w:start w:val="1"/>
      <w:numFmt w:val="bullet"/>
      <w:lvlText w:val=""/>
      <w:lvlJc w:val="left"/>
      <w:pPr>
        <w:tabs>
          <w:tab w:val="num" w:pos="2160"/>
        </w:tabs>
        <w:ind w:left="2160" w:hanging="360"/>
      </w:pPr>
      <w:rPr>
        <w:rFonts w:ascii="Symbol" w:hAnsi="Symbol" w:hint="default"/>
        <w:sz w:val="20"/>
      </w:rPr>
    </w:lvl>
    <w:lvl w:ilvl="3" w:tplc="26D064E8" w:tentative="1">
      <w:start w:val="1"/>
      <w:numFmt w:val="bullet"/>
      <w:lvlText w:val=""/>
      <w:lvlJc w:val="left"/>
      <w:pPr>
        <w:tabs>
          <w:tab w:val="num" w:pos="2880"/>
        </w:tabs>
        <w:ind w:left="2880" w:hanging="360"/>
      </w:pPr>
      <w:rPr>
        <w:rFonts w:ascii="Symbol" w:hAnsi="Symbol" w:hint="default"/>
        <w:sz w:val="20"/>
      </w:rPr>
    </w:lvl>
    <w:lvl w:ilvl="4" w:tplc="8FBC842A" w:tentative="1">
      <w:start w:val="1"/>
      <w:numFmt w:val="bullet"/>
      <w:lvlText w:val=""/>
      <w:lvlJc w:val="left"/>
      <w:pPr>
        <w:tabs>
          <w:tab w:val="num" w:pos="3600"/>
        </w:tabs>
        <w:ind w:left="3600" w:hanging="360"/>
      </w:pPr>
      <w:rPr>
        <w:rFonts w:ascii="Symbol" w:hAnsi="Symbol" w:hint="default"/>
        <w:sz w:val="20"/>
      </w:rPr>
    </w:lvl>
    <w:lvl w:ilvl="5" w:tplc="B754A35A" w:tentative="1">
      <w:start w:val="1"/>
      <w:numFmt w:val="bullet"/>
      <w:lvlText w:val=""/>
      <w:lvlJc w:val="left"/>
      <w:pPr>
        <w:tabs>
          <w:tab w:val="num" w:pos="4320"/>
        </w:tabs>
        <w:ind w:left="4320" w:hanging="360"/>
      </w:pPr>
      <w:rPr>
        <w:rFonts w:ascii="Symbol" w:hAnsi="Symbol" w:hint="default"/>
        <w:sz w:val="20"/>
      </w:rPr>
    </w:lvl>
    <w:lvl w:ilvl="6" w:tplc="494AF4B4" w:tentative="1">
      <w:start w:val="1"/>
      <w:numFmt w:val="bullet"/>
      <w:lvlText w:val=""/>
      <w:lvlJc w:val="left"/>
      <w:pPr>
        <w:tabs>
          <w:tab w:val="num" w:pos="5040"/>
        </w:tabs>
        <w:ind w:left="5040" w:hanging="360"/>
      </w:pPr>
      <w:rPr>
        <w:rFonts w:ascii="Symbol" w:hAnsi="Symbol" w:hint="default"/>
        <w:sz w:val="20"/>
      </w:rPr>
    </w:lvl>
    <w:lvl w:ilvl="7" w:tplc="590ED6D2" w:tentative="1">
      <w:start w:val="1"/>
      <w:numFmt w:val="bullet"/>
      <w:lvlText w:val=""/>
      <w:lvlJc w:val="left"/>
      <w:pPr>
        <w:tabs>
          <w:tab w:val="num" w:pos="5760"/>
        </w:tabs>
        <w:ind w:left="5760" w:hanging="360"/>
      </w:pPr>
      <w:rPr>
        <w:rFonts w:ascii="Symbol" w:hAnsi="Symbol" w:hint="default"/>
        <w:sz w:val="20"/>
      </w:rPr>
    </w:lvl>
    <w:lvl w:ilvl="8" w:tplc="D494BBBE"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171050B"/>
    <w:multiLevelType w:val="hybridMultilevel"/>
    <w:tmpl w:val="5704C942"/>
    <w:lvl w:ilvl="0" w:tplc="D4B82B16">
      <w:start w:val="1"/>
      <w:numFmt w:val="bullet"/>
      <w:lvlText w:val="•"/>
      <w:lvlJc w:val="left"/>
      <w:pPr>
        <w:ind w:left="360" w:hanging="360"/>
      </w:pPr>
      <w:rPr>
        <w:rFonts w:ascii="Noto Sans Symbols" w:eastAsia="Noto Sans Symbols" w:hAnsi="Noto Sans Symbols" w:cs="Noto Sans Symbols"/>
        <w:b w:val="0"/>
        <w:i w:val="0"/>
        <w:smallCaps w:val="0"/>
        <w:strike w:val="0"/>
        <w:shd w:val="clear" w:color="auto" w:fill="auto"/>
        <w:vertAlign w:val="baseline"/>
      </w:rPr>
    </w:lvl>
    <w:lvl w:ilvl="1" w:tplc="57888A50">
      <w:start w:val="1"/>
      <w:numFmt w:val="bullet"/>
      <w:lvlText w:val="•"/>
      <w:lvlJc w:val="left"/>
      <w:pPr>
        <w:ind w:left="1080" w:hanging="360"/>
      </w:pPr>
      <w:rPr>
        <w:rFonts w:ascii="Noto Sans Symbols" w:eastAsia="Noto Sans Symbols" w:hAnsi="Noto Sans Symbols" w:cs="Noto Sans Symbols"/>
        <w:b w:val="0"/>
        <w:i w:val="0"/>
        <w:smallCaps w:val="0"/>
        <w:strike w:val="0"/>
        <w:shd w:val="clear" w:color="auto" w:fill="auto"/>
        <w:vertAlign w:val="baseline"/>
      </w:rPr>
    </w:lvl>
    <w:lvl w:ilvl="2" w:tplc="CA524302">
      <w:start w:val="1"/>
      <w:numFmt w:val="bullet"/>
      <w:lvlText w:val="•"/>
      <w:lvlJc w:val="left"/>
      <w:pPr>
        <w:ind w:left="1800" w:hanging="180"/>
      </w:pPr>
      <w:rPr>
        <w:rFonts w:ascii="Noto Sans Symbols" w:eastAsia="Noto Sans Symbols" w:hAnsi="Noto Sans Symbols" w:cs="Noto Sans Symbols"/>
        <w:b w:val="0"/>
        <w:i w:val="0"/>
        <w:smallCaps w:val="0"/>
        <w:strike w:val="0"/>
        <w:shd w:val="clear" w:color="auto" w:fill="auto"/>
        <w:vertAlign w:val="baseline"/>
      </w:rPr>
    </w:lvl>
    <w:lvl w:ilvl="3" w:tplc="1576CCD0">
      <w:start w:val="1"/>
      <w:numFmt w:val="bullet"/>
      <w:lvlText w:val="•"/>
      <w:lvlJc w:val="left"/>
      <w:pPr>
        <w:ind w:left="2610" w:hanging="180"/>
      </w:pPr>
      <w:rPr>
        <w:rFonts w:ascii="Noto Sans Symbols" w:eastAsia="Noto Sans Symbols" w:hAnsi="Noto Sans Symbols" w:cs="Noto Sans Symbols"/>
        <w:b w:val="0"/>
        <w:i w:val="0"/>
        <w:smallCaps w:val="0"/>
        <w:strike w:val="0"/>
        <w:shd w:val="clear" w:color="auto" w:fill="auto"/>
        <w:vertAlign w:val="baseline"/>
      </w:rPr>
    </w:lvl>
    <w:lvl w:ilvl="4" w:tplc="FA148CBC">
      <w:start w:val="1"/>
      <w:numFmt w:val="bullet"/>
      <w:lvlText w:val="•"/>
      <w:lvlJc w:val="left"/>
      <w:pPr>
        <w:ind w:left="3420" w:hanging="180"/>
      </w:pPr>
      <w:rPr>
        <w:rFonts w:ascii="Noto Sans Symbols" w:eastAsia="Noto Sans Symbols" w:hAnsi="Noto Sans Symbols" w:cs="Noto Sans Symbols"/>
        <w:b w:val="0"/>
        <w:i w:val="0"/>
        <w:smallCaps w:val="0"/>
        <w:strike w:val="0"/>
        <w:shd w:val="clear" w:color="auto" w:fill="auto"/>
        <w:vertAlign w:val="baseline"/>
      </w:rPr>
    </w:lvl>
    <w:lvl w:ilvl="5" w:tplc="8C0C49E2">
      <w:start w:val="1"/>
      <w:numFmt w:val="bullet"/>
      <w:lvlText w:val="•"/>
      <w:lvlJc w:val="left"/>
      <w:pPr>
        <w:ind w:left="4230" w:hanging="180"/>
      </w:pPr>
      <w:rPr>
        <w:rFonts w:ascii="Noto Sans Symbols" w:eastAsia="Noto Sans Symbols" w:hAnsi="Noto Sans Symbols" w:cs="Noto Sans Symbols"/>
        <w:b w:val="0"/>
        <w:i w:val="0"/>
        <w:smallCaps w:val="0"/>
        <w:strike w:val="0"/>
        <w:shd w:val="clear" w:color="auto" w:fill="auto"/>
        <w:vertAlign w:val="baseline"/>
      </w:rPr>
    </w:lvl>
    <w:lvl w:ilvl="6" w:tplc="E820BEDA">
      <w:start w:val="1"/>
      <w:numFmt w:val="bullet"/>
      <w:lvlText w:val="•"/>
      <w:lvlJc w:val="left"/>
      <w:pPr>
        <w:ind w:left="5040" w:hanging="180"/>
      </w:pPr>
      <w:rPr>
        <w:rFonts w:ascii="Noto Sans Symbols" w:eastAsia="Noto Sans Symbols" w:hAnsi="Noto Sans Symbols" w:cs="Noto Sans Symbols"/>
        <w:b w:val="0"/>
        <w:i w:val="0"/>
        <w:smallCaps w:val="0"/>
        <w:strike w:val="0"/>
        <w:shd w:val="clear" w:color="auto" w:fill="auto"/>
        <w:vertAlign w:val="baseline"/>
      </w:rPr>
    </w:lvl>
    <w:lvl w:ilvl="7" w:tplc="45240C74">
      <w:start w:val="1"/>
      <w:numFmt w:val="bullet"/>
      <w:lvlText w:val="•"/>
      <w:lvlJc w:val="left"/>
      <w:pPr>
        <w:ind w:left="5850" w:hanging="180"/>
      </w:pPr>
      <w:rPr>
        <w:rFonts w:ascii="Noto Sans Symbols" w:eastAsia="Noto Sans Symbols" w:hAnsi="Noto Sans Symbols" w:cs="Noto Sans Symbols"/>
        <w:b w:val="0"/>
        <w:i w:val="0"/>
        <w:smallCaps w:val="0"/>
        <w:strike w:val="0"/>
        <w:shd w:val="clear" w:color="auto" w:fill="auto"/>
        <w:vertAlign w:val="baseline"/>
      </w:rPr>
    </w:lvl>
    <w:lvl w:ilvl="8" w:tplc="30F457DE">
      <w:start w:val="1"/>
      <w:numFmt w:val="bullet"/>
      <w:lvlText w:val="•"/>
      <w:lvlJc w:val="left"/>
      <w:pPr>
        <w:ind w:left="6660" w:hanging="180"/>
      </w:pPr>
      <w:rPr>
        <w:rFonts w:ascii="Noto Sans Symbols" w:eastAsia="Noto Sans Symbols" w:hAnsi="Noto Sans Symbols" w:cs="Noto Sans Symbols"/>
        <w:b w:val="0"/>
        <w:i w:val="0"/>
        <w:smallCaps w:val="0"/>
        <w:strike w:val="0"/>
        <w:shd w:val="clear" w:color="auto" w:fill="auto"/>
        <w:vertAlign w:val="baseline"/>
      </w:rPr>
    </w:lvl>
  </w:abstractNum>
  <w:abstractNum w:abstractNumId="22" w15:restartNumberingAfterBreak="0">
    <w:nsid w:val="618F6388"/>
    <w:multiLevelType w:val="hybridMultilevel"/>
    <w:tmpl w:val="FD9CFBC4"/>
    <w:lvl w:ilvl="0" w:tplc="907EDCEA">
      <w:start w:val="1"/>
      <w:numFmt w:val="decimal"/>
      <w:lvlText w:val="%1"/>
      <w:lvlJc w:val="left"/>
      <w:pPr>
        <w:ind w:left="567" w:hanging="567"/>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8FF5DD2"/>
    <w:multiLevelType w:val="hybridMultilevel"/>
    <w:tmpl w:val="0EFC5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2D3721"/>
    <w:multiLevelType w:val="hybridMultilevel"/>
    <w:tmpl w:val="3D7ADE02"/>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E516FCF"/>
    <w:multiLevelType w:val="hybridMultilevel"/>
    <w:tmpl w:val="4B9E616E"/>
    <w:lvl w:ilvl="0" w:tplc="2CC29814">
      <w:start w:val="1"/>
      <w:numFmt w:val="decimal"/>
      <w:lvlRestart w:val="0"/>
      <w:lvlText w:val="%1."/>
      <w:lvlJc w:val="left"/>
      <w:pPr>
        <w:tabs>
          <w:tab w:val="num" w:pos="720"/>
        </w:tabs>
        <w:ind w:left="720" w:hanging="72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7DC0009C"/>
    <w:multiLevelType w:val="hybridMultilevel"/>
    <w:tmpl w:val="B82E6B5E"/>
    <w:lvl w:ilvl="0" w:tplc="7AE067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2477137">
    <w:abstractNumId w:val="13"/>
  </w:num>
  <w:num w:numId="2" w16cid:durableId="660961837">
    <w:abstractNumId w:val="5"/>
  </w:num>
  <w:num w:numId="3" w16cid:durableId="1943685026">
    <w:abstractNumId w:val="26"/>
  </w:num>
  <w:num w:numId="4" w16cid:durableId="1106735717">
    <w:abstractNumId w:val="2"/>
  </w:num>
  <w:num w:numId="5" w16cid:durableId="1110129375">
    <w:abstractNumId w:val="17"/>
  </w:num>
  <w:num w:numId="6" w16cid:durableId="761950165">
    <w:abstractNumId w:val="25"/>
  </w:num>
  <w:num w:numId="7" w16cid:durableId="1200313420">
    <w:abstractNumId w:val="18"/>
  </w:num>
  <w:num w:numId="8" w16cid:durableId="635990361">
    <w:abstractNumId w:val="21"/>
  </w:num>
  <w:num w:numId="9" w16cid:durableId="830559802">
    <w:abstractNumId w:val="12"/>
  </w:num>
  <w:num w:numId="10" w16cid:durableId="1456101410">
    <w:abstractNumId w:val="23"/>
  </w:num>
  <w:num w:numId="11" w16cid:durableId="673797538">
    <w:abstractNumId w:val="8"/>
  </w:num>
  <w:num w:numId="12" w16cid:durableId="1323386262">
    <w:abstractNumId w:val="16"/>
  </w:num>
  <w:num w:numId="13" w16cid:durableId="1044140436">
    <w:abstractNumId w:val="3"/>
  </w:num>
  <w:num w:numId="14" w16cid:durableId="1341852413">
    <w:abstractNumId w:val="20"/>
  </w:num>
  <w:num w:numId="15" w16cid:durableId="404229265">
    <w:abstractNumId w:val="0"/>
  </w:num>
  <w:num w:numId="16" w16cid:durableId="987245164">
    <w:abstractNumId w:val="27"/>
  </w:num>
  <w:num w:numId="17" w16cid:durableId="184246604">
    <w:abstractNumId w:val="7"/>
  </w:num>
  <w:num w:numId="18" w16cid:durableId="27460679">
    <w:abstractNumId w:val="11"/>
  </w:num>
  <w:num w:numId="19" w16cid:durableId="640690789">
    <w:abstractNumId w:val="4"/>
  </w:num>
  <w:num w:numId="20" w16cid:durableId="2066173372">
    <w:abstractNumId w:val="1"/>
  </w:num>
  <w:num w:numId="21" w16cid:durableId="1271938101">
    <w:abstractNumId w:val="9"/>
  </w:num>
  <w:num w:numId="22" w16cid:durableId="67411269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36497098">
    <w:abstractNumId w:val="24"/>
  </w:num>
  <w:num w:numId="24" w16cid:durableId="535503634">
    <w:abstractNumId w:val="15"/>
  </w:num>
  <w:num w:numId="25" w16cid:durableId="405032916">
    <w:abstractNumId w:val="10"/>
  </w:num>
  <w:num w:numId="26" w16cid:durableId="1066681194">
    <w:abstractNumId w:val="14"/>
  </w:num>
  <w:num w:numId="27" w16cid:durableId="1042754495">
    <w:abstractNumId w:val="22"/>
  </w:num>
  <w:num w:numId="28" w16cid:durableId="208622429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2E4"/>
    <w:rsid w:val="00004A1F"/>
    <w:rsid w:val="00011F78"/>
    <w:rsid w:val="00021944"/>
    <w:rsid w:val="00022DB6"/>
    <w:rsid w:val="00025A05"/>
    <w:rsid w:val="0002796E"/>
    <w:rsid w:val="00033293"/>
    <w:rsid w:val="00041864"/>
    <w:rsid w:val="0004776A"/>
    <w:rsid w:val="00065C04"/>
    <w:rsid w:val="00072F0C"/>
    <w:rsid w:val="000833EF"/>
    <w:rsid w:val="0009313A"/>
    <w:rsid w:val="000A0C1B"/>
    <w:rsid w:val="000A3F55"/>
    <w:rsid w:val="000B1468"/>
    <w:rsid w:val="000F4E59"/>
    <w:rsid w:val="000F589D"/>
    <w:rsid w:val="00106E27"/>
    <w:rsid w:val="00113C44"/>
    <w:rsid w:val="00116F59"/>
    <w:rsid w:val="0012025B"/>
    <w:rsid w:val="001362FD"/>
    <w:rsid w:val="001366BB"/>
    <w:rsid w:val="001372F2"/>
    <w:rsid w:val="00141A52"/>
    <w:rsid w:val="00153F85"/>
    <w:rsid w:val="0015782C"/>
    <w:rsid w:val="00162377"/>
    <w:rsid w:val="00171D15"/>
    <w:rsid w:val="00173418"/>
    <w:rsid w:val="001742E8"/>
    <w:rsid w:val="0017643E"/>
    <w:rsid w:val="00180A06"/>
    <w:rsid w:val="00182783"/>
    <w:rsid w:val="00182AF8"/>
    <w:rsid w:val="00184C75"/>
    <w:rsid w:val="00190086"/>
    <w:rsid w:val="00195F8E"/>
    <w:rsid w:val="001961D5"/>
    <w:rsid w:val="00196400"/>
    <w:rsid w:val="001A0397"/>
    <w:rsid w:val="001A54FA"/>
    <w:rsid w:val="001A75DD"/>
    <w:rsid w:val="001B05C8"/>
    <w:rsid w:val="001B6DF9"/>
    <w:rsid w:val="001C4925"/>
    <w:rsid w:val="001D55BC"/>
    <w:rsid w:val="001D56AF"/>
    <w:rsid w:val="001D7FB3"/>
    <w:rsid w:val="001F1E8F"/>
    <w:rsid w:val="002009C2"/>
    <w:rsid w:val="0020218A"/>
    <w:rsid w:val="002047E3"/>
    <w:rsid w:val="00211AE3"/>
    <w:rsid w:val="00211C37"/>
    <w:rsid w:val="002129E2"/>
    <w:rsid w:val="00212D24"/>
    <w:rsid w:val="00217581"/>
    <w:rsid w:val="00233211"/>
    <w:rsid w:val="002335B0"/>
    <w:rsid w:val="002338A1"/>
    <w:rsid w:val="00233F0F"/>
    <w:rsid w:val="00243F11"/>
    <w:rsid w:val="00250E1D"/>
    <w:rsid w:val="00264961"/>
    <w:rsid w:val="00265D15"/>
    <w:rsid w:val="00266064"/>
    <w:rsid w:val="00275754"/>
    <w:rsid w:val="0027611C"/>
    <w:rsid w:val="00280931"/>
    <w:rsid w:val="002840D0"/>
    <w:rsid w:val="00291750"/>
    <w:rsid w:val="00295EFC"/>
    <w:rsid w:val="002A486A"/>
    <w:rsid w:val="002B2E8D"/>
    <w:rsid w:val="002B651E"/>
    <w:rsid w:val="002B7B87"/>
    <w:rsid w:val="002C1694"/>
    <w:rsid w:val="002D2A7A"/>
    <w:rsid w:val="002D415F"/>
    <w:rsid w:val="002E0A34"/>
    <w:rsid w:val="002E28FA"/>
    <w:rsid w:val="002F250D"/>
    <w:rsid w:val="003014D3"/>
    <w:rsid w:val="00310708"/>
    <w:rsid w:val="00312BD3"/>
    <w:rsid w:val="00313C01"/>
    <w:rsid w:val="00313D90"/>
    <w:rsid w:val="003465EF"/>
    <w:rsid w:val="00347A3B"/>
    <w:rsid w:val="00347F94"/>
    <w:rsid w:val="003538B1"/>
    <w:rsid w:val="00354476"/>
    <w:rsid w:val="00355136"/>
    <w:rsid w:val="00367EEB"/>
    <w:rsid w:val="00370895"/>
    <w:rsid w:val="00371C81"/>
    <w:rsid w:val="003767B8"/>
    <w:rsid w:val="00376A37"/>
    <w:rsid w:val="00391F82"/>
    <w:rsid w:val="003922A3"/>
    <w:rsid w:val="00392AE9"/>
    <w:rsid w:val="003B37CE"/>
    <w:rsid w:val="003B493C"/>
    <w:rsid w:val="003B78F9"/>
    <w:rsid w:val="003C2692"/>
    <w:rsid w:val="003C2F6F"/>
    <w:rsid w:val="003D027F"/>
    <w:rsid w:val="003D74A2"/>
    <w:rsid w:val="003D7A13"/>
    <w:rsid w:val="003E1B86"/>
    <w:rsid w:val="003F4A02"/>
    <w:rsid w:val="003F7C36"/>
    <w:rsid w:val="00402805"/>
    <w:rsid w:val="00402829"/>
    <w:rsid w:val="004029AF"/>
    <w:rsid w:val="00404ABD"/>
    <w:rsid w:val="00405C00"/>
    <w:rsid w:val="004207B6"/>
    <w:rsid w:val="0042581D"/>
    <w:rsid w:val="00426F0C"/>
    <w:rsid w:val="00430DC5"/>
    <w:rsid w:val="004331A9"/>
    <w:rsid w:val="00434FC0"/>
    <w:rsid w:val="00450D89"/>
    <w:rsid w:val="004533A7"/>
    <w:rsid w:val="00460505"/>
    <w:rsid w:val="00463122"/>
    <w:rsid w:val="004633F2"/>
    <w:rsid w:val="00465E00"/>
    <w:rsid w:val="00476564"/>
    <w:rsid w:val="00480E77"/>
    <w:rsid w:val="00483A0B"/>
    <w:rsid w:val="00484C39"/>
    <w:rsid w:val="00485622"/>
    <w:rsid w:val="004955D9"/>
    <w:rsid w:val="004A0F20"/>
    <w:rsid w:val="004A5764"/>
    <w:rsid w:val="004A6C74"/>
    <w:rsid w:val="004B39B7"/>
    <w:rsid w:val="004C1C0A"/>
    <w:rsid w:val="004C7261"/>
    <w:rsid w:val="004D2344"/>
    <w:rsid w:val="004E633C"/>
    <w:rsid w:val="00504E0A"/>
    <w:rsid w:val="00511CA5"/>
    <w:rsid w:val="005150CE"/>
    <w:rsid w:val="00515FBC"/>
    <w:rsid w:val="00530814"/>
    <w:rsid w:val="00533F39"/>
    <w:rsid w:val="00540DAB"/>
    <w:rsid w:val="00545301"/>
    <w:rsid w:val="005567CA"/>
    <w:rsid w:val="00561AA0"/>
    <w:rsid w:val="00565333"/>
    <w:rsid w:val="00566D69"/>
    <w:rsid w:val="005670E8"/>
    <w:rsid w:val="00583DE4"/>
    <w:rsid w:val="00591B39"/>
    <w:rsid w:val="00593804"/>
    <w:rsid w:val="005A675C"/>
    <w:rsid w:val="005A77CD"/>
    <w:rsid w:val="005B1CC3"/>
    <w:rsid w:val="005B31CA"/>
    <w:rsid w:val="005B5A07"/>
    <w:rsid w:val="005B695C"/>
    <w:rsid w:val="005B76CC"/>
    <w:rsid w:val="005C1372"/>
    <w:rsid w:val="005C431B"/>
    <w:rsid w:val="005D000E"/>
    <w:rsid w:val="005E5BB4"/>
    <w:rsid w:val="005E6B8E"/>
    <w:rsid w:val="005F2F3E"/>
    <w:rsid w:val="00607A4B"/>
    <w:rsid w:val="0061430F"/>
    <w:rsid w:val="00616C76"/>
    <w:rsid w:val="006201F0"/>
    <w:rsid w:val="0062704E"/>
    <w:rsid w:val="006323C8"/>
    <w:rsid w:val="00634682"/>
    <w:rsid w:val="00634A9E"/>
    <w:rsid w:val="0063507E"/>
    <w:rsid w:val="006363E9"/>
    <w:rsid w:val="00637DD4"/>
    <w:rsid w:val="00655943"/>
    <w:rsid w:val="006566F7"/>
    <w:rsid w:val="006728A9"/>
    <w:rsid w:val="006752C0"/>
    <w:rsid w:val="00675B1F"/>
    <w:rsid w:val="00681577"/>
    <w:rsid w:val="0068184A"/>
    <w:rsid w:val="006858D6"/>
    <w:rsid w:val="00687908"/>
    <w:rsid w:val="006A0189"/>
    <w:rsid w:val="006A1127"/>
    <w:rsid w:val="006A2F72"/>
    <w:rsid w:val="006A3278"/>
    <w:rsid w:val="006A5329"/>
    <w:rsid w:val="006B07E9"/>
    <w:rsid w:val="006B2E85"/>
    <w:rsid w:val="006B50A9"/>
    <w:rsid w:val="006C7FAF"/>
    <w:rsid w:val="006D3EBD"/>
    <w:rsid w:val="006E01A2"/>
    <w:rsid w:val="006E689B"/>
    <w:rsid w:val="006E6F0B"/>
    <w:rsid w:val="007104E4"/>
    <w:rsid w:val="0071149A"/>
    <w:rsid w:val="00714904"/>
    <w:rsid w:val="00725F37"/>
    <w:rsid w:val="0072781A"/>
    <w:rsid w:val="0073042D"/>
    <w:rsid w:val="00737CE1"/>
    <w:rsid w:val="007442BB"/>
    <w:rsid w:val="007463C5"/>
    <w:rsid w:val="00746846"/>
    <w:rsid w:val="00750886"/>
    <w:rsid w:val="007510C3"/>
    <w:rsid w:val="007544EC"/>
    <w:rsid w:val="007574AF"/>
    <w:rsid w:val="007606A9"/>
    <w:rsid w:val="0076458E"/>
    <w:rsid w:val="00767063"/>
    <w:rsid w:val="007771A1"/>
    <w:rsid w:val="00791414"/>
    <w:rsid w:val="007914AB"/>
    <w:rsid w:val="007940AE"/>
    <w:rsid w:val="00796CAE"/>
    <w:rsid w:val="00796FA7"/>
    <w:rsid w:val="007A10F9"/>
    <w:rsid w:val="007A4C02"/>
    <w:rsid w:val="007A63C9"/>
    <w:rsid w:val="007B2444"/>
    <w:rsid w:val="007B49CD"/>
    <w:rsid w:val="007B593B"/>
    <w:rsid w:val="007B5A46"/>
    <w:rsid w:val="007B7029"/>
    <w:rsid w:val="007C1BC2"/>
    <w:rsid w:val="007C40FE"/>
    <w:rsid w:val="007D0DBA"/>
    <w:rsid w:val="007D49FC"/>
    <w:rsid w:val="007D4DB0"/>
    <w:rsid w:val="007D6EAB"/>
    <w:rsid w:val="007E4288"/>
    <w:rsid w:val="007F073B"/>
    <w:rsid w:val="007F7AAF"/>
    <w:rsid w:val="008036AC"/>
    <w:rsid w:val="0080409C"/>
    <w:rsid w:val="00805C72"/>
    <w:rsid w:val="008070FE"/>
    <w:rsid w:val="0081435B"/>
    <w:rsid w:val="00831225"/>
    <w:rsid w:val="00835260"/>
    <w:rsid w:val="00840353"/>
    <w:rsid w:val="008428AB"/>
    <w:rsid w:val="00847706"/>
    <w:rsid w:val="00863664"/>
    <w:rsid w:val="00863696"/>
    <w:rsid w:val="00866865"/>
    <w:rsid w:val="00871B15"/>
    <w:rsid w:val="008760EB"/>
    <w:rsid w:val="0088151C"/>
    <w:rsid w:val="008817AB"/>
    <w:rsid w:val="008843A4"/>
    <w:rsid w:val="00891366"/>
    <w:rsid w:val="008A6F06"/>
    <w:rsid w:val="008B1C49"/>
    <w:rsid w:val="008B2C84"/>
    <w:rsid w:val="008B67CC"/>
    <w:rsid w:val="008C07ED"/>
    <w:rsid w:val="008D011E"/>
    <w:rsid w:val="008D01A7"/>
    <w:rsid w:val="008D1228"/>
    <w:rsid w:val="008E2351"/>
    <w:rsid w:val="008E268B"/>
    <w:rsid w:val="008E3BDA"/>
    <w:rsid w:val="008E72E4"/>
    <w:rsid w:val="008F452F"/>
    <w:rsid w:val="009015D8"/>
    <w:rsid w:val="00904225"/>
    <w:rsid w:val="00905ADC"/>
    <w:rsid w:val="00906C33"/>
    <w:rsid w:val="00911810"/>
    <w:rsid w:val="009173AF"/>
    <w:rsid w:val="00932946"/>
    <w:rsid w:val="00941D87"/>
    <w:rsid w:val="009424FA"/>
    <w:rsid w:val="009426CB"/>
    <w:rsid w:val="00943779"/>
    <w:rsid w:val="00946F04"/>
    <w:rsid w:val="009612DB"/>
    <w:rsid w:val="00963073"/>
    <w:rsid w:val="00966011"/>
    <w:rsid w:val="00972E91"/>
    <w:rsid w:val="0097315A"/>
    <w:rsid w:val="0097528A"/>
    <w:rsid w:val="0099312B"/>
    <w:rsid w:val="009A3F0A"/>
    <w:rsid w:val="009B3EFE"/>
    <w:rsid w:val="009B493A"/>
    <w:rsid w:val="009B76FD"/>
    <w:rsid w:val="009C5D86"/>
    <w:rsid w:val="009D3D73"/>
    <w:rsid w:val="009E73AD"/>
    <w:rsid w:val="009E7AC0"/>
    <w:rsid w:val="009F2222"/>
    <w:rsid w:val="009F4DF8"/>
    <w:rsid w:val="009F5357"/>
    <w:rsid w:val="009F60B9"/>
    <w:rsid w:val="009F7653"/>
    <w:rsid w:val="00A00569"/>
    <w:rsid w:val="00A01003"/>
    <w:rsid w:val="00A117E4"/>
    <w:rsid w:val="00A136BA"/>
    <w:rsid w:val="00A21E85"/>
    <w:rsid w:val="00A2712A"/>
    <w:rsid w:val="00A3168C"/>
    <w:rsid w:val="00A3306B"/>
    <w:rsid w:val="00A34EB6"/>
    <w:rsid w:val="00A36044"/>
    <w:rsid w:val="00A366A9"/>
    <w:rsid w:val="00A40BA5"/>
    <w:rsid w:val="00A46912"/>
    <w:rsid w:val="00A47B46"/>
    <w:rsid w:val="00A64099"/>
    <w:rsid w:val="00A71285"/>
    <w:rsid w:val="00A719B9"/>
    <w:rsid w:val="00A73326"/>
    <w:rsid w:val="00A911A6"/>
    <w:rsid w:val="00A943FF"/>
    <w:rsid w:val="00A96425"/>
    <w:rsid w:val="00AB2700"/>
    <w:rsid w:val="00AB6016"/>
    <w:rsid w:val="00AC2A37"/>
    <w:rsid w:val="00AD0E50"/>
    <w:rsid w:val="00AD42DB"/>
    <w:rsid w:val="00AD632D"/>
    <w:rsid w:val="00AD6881"/>
    <w:rsid w:val="00AE15CC"/>
    <w:rsid w:val="00AE2677"/>
    <w:rsid w:val="00AE6A28"/>
    <w:rsid w:val="00AF0554"/>
    <w:rsid w:val="00AF1C07"/>
    <w:rsid w:val="00AF62C9"/>
    <w:rsid w:val="00AF6C9F"/>
    <w:rsid w:val="00AF737F"/>
    <w:rsid w:val="00B006DF"/>
    <w:rsid w:val="00B05ECD"/>
    <w:rsid w:val="00B06172"/>
    <w:rsid w:val="00B16A24"/>
    <w:rsid w:val="00B16A8C"/>
    <w:rsid w:val="00B178B4"/>
    <w:rsid w:val="00B2588E"/>
    <w:rsid w:val="00B275C1"/>
    <w:rsid w:val="00B33F06"/>
    <w:rsid w:val="00B375B0"/>
    <w:rsid w:val="00B41256"/>
    <w:rsid w:val="00B47A98"/>
    <w:rsid w:val="00B63401"/>
    <w:rsid w:val="00B6522B"/>
    <w:rsid w:val="00B65709"/>
    <w:rsid w:val="00B66D49"/>
    <w:rsid w:val="00B67955"/>
    <w:rsid w:val="00B67965"/>
    <w:rsid w:val="00B67DF2"/>
    <w:rsid w:val="00B83D1D"/>
    <w:rsid w:val="00B84879"/>
    <w:rsid w:val="00B85BF7"/>
    <w:rsid w:val="00B91AC4"/>
    <w:rsid w:val="00B939CC"/>
    <w:rsid w:val="00B946F6"/>
    <w:rsid w:val="00B957EB"/>
    <w:rsid w:val="00B96614"/>
    <w:rsid w:val="00BB08A0"/>
    <w:rsid w:val="00BB18C8"/>
    <w:rsid w:val="00BB3295"/>
    <w:rsid w:val="00BC547B"/>
    <w:rsid w:val="00BD28DA"/>
    <w:rsid w:val="00BD4B6C"/>
    <w:rsid w:val="00BD7842"/>
    <w:rsid w:val="00BE6776"/>
    <w:rsid w:val="00C05242"/>
    <w:rsid w:val="00C21E1E"/>
    <w:rsid w:val="00C23763"/>
    <w:rsid w:val="00C25821"/>
    <w:rsid w:val="00C269FE"/>
    <w:rsid w:val="00C37933"/>
    <w:rsid w:val="00C408C7"/>
    <w:rsid w:val="00C47586"/>
    <w:rsid w:val="00C47EEA"/>
    <w:rsid w:val="00C519D0"/>
    <w:rsid w:val="00C70ACB"/>
    <w:rsid w:val="00C80FEF"/>
    <w:rsid w:val="00C8261F"/>
    <w:rsid w:val="00C9437D"/>
    <w:rsid w:val="00C96266"/>
    <w:rsid w:val="00CA3E51"/>
    <w:rsid w:val="00CA4FEC"/>
    <w:rsid w:val="00CA50EF"/>
    <w:rsid w:val="00CB5E9F"/>
    <w:rsid w:val="00CB614A"/>
    <w:rsid w:val="00CB7646"/>
    <w:rsid w:val="00CC2D81"/>
    <w:rsid w:val="00CD0BCE"/>
    <w:rsid w:val="00CD6F46"/>
    <w:rsid w:val="00CD7921"/>
    <w:rsid w:val="00CE084B"/>
    <w:rsid w:val="00CE3408"/>
    <w:rsid w:val="00CE7A48"/>
    <w:rsid w:val="00CF2386"/>
    <w:rsid w:val="00CF3726"/>
    <w:rsid w:val="00D02D57"/>
    <w:rsid w:val="00D118D6"/>
    <w:rsid w:val="00D1678B"/>
    <w:rsid w:val="00D17F7D"/>
    <w:rsid w:val="00D20266"/>
    <w:rsid w:val="00D20C29"/>
    <w:rsid w:val="00D24347"/>
    <w:rsid w:val="00D30AE1"/>
    <w:rsid w:val="00D33842"/>
    <w:rsid w:val="00D45639"/>
    <w:rsid w:val="00D47915"/>
    <w:rsid w:val="00D517A6"/>
    <w:rsid w:val="00D52467"/>
    <w:rsid w:val="00D529A4"/>
    <w:rsid w:val="00D552E8"/>
    <w:rsid w:val="00D57D6E"/>
    <w:rsid w:val="00D61F5A"/>
    <w:rsid w:val="00D656C2"/>
    <w:rsid w:val="00D76699"/>
    <w:rsid w:val="00DB224E"/>
    <w:rsid w:val="00DB239B"/>
    <w:rsid w:val="00DB4C12"/>
    <w:rsid w:val="00DC011C"/>
    <w:rsid w:val="00DC0DC0"/>
    <w:rsid w:val="00DD0A95"/>
    <w:rsid w:val="00DD5B42"/>
    <w:rsid w:val="00DD5E43"/>
    <w:rsid w:val="00E0081E"/>
    <w:rsid w:val="00E012E5"/>
    <w:rsid w:val="00E02094"/>
    <w:rsid w:val="00E0277F"/>
    <w:rsid w:val="00E04340"/>
    <w:rsid w:val="00E048BF"/>
    <w:rsid w:val="00E10F4C"/>
    <w:rsid w:val="00E11449"/>
    <w:rsid w:val="00E16ADB"/>
    <w:rsid w:val="00E216A0"/>
    <w:rsid w:val="00E2419F"/>
    <w:rsid w:val="00E313D6"/>
    <w:rsid w:val="00E366D6"/>
    <w:rsid w:val="00E53D6A"/>
    <w:rsid w:val="00E5450F"/>
    <w:rsid w:val="00E6137B"/>
    <w:rsid w:val="00E63D8B"/>
    <w:rsid w:val="00E66330"/>
    <w:rsid w:val="00E675A1"/>
    <w:rsid w:val="00E67EDC"/>
    <w:rsid w:val="00E71271"/>
    <w:rsid w:val="00E81F4B"/>
    <w:rsid w:val="00E8632B"/>
    <w:rsid w:val="00E9295A"/>
    <w:rsid w:val="00EA11BE"/>
    <w:rsid w:val="00EA7919"/>
    <w:rsid w:val="00EA7C08"/>
    <w:rsid w:val="00EC34F3"/>
    <w:rsid w:val="00EC644A"/>
    <w:rsid w:val="00EC6A3F"/>
    <w:rsid w:val="00ED4E1E"/>
    <w:rsid w:val="00F10F1F"/>
    <w:rsid w:val="00F221A9"/>
    <w:rsid w:val="00F30554"/>
    <w:rsid w:val="00F348D2"/>
    <w:rsid w:val="00F4485F"/>
    <w:rsid w:val="00F44B6A"/>
    <w:rsid w:val="00F47D92"/>
    <w:rsid w:val="00F521C7"/>
    <w:rsid w:val="00F5428A"/>
    <w:rsid w:val="00F60BF8"/>
    <w:rsid w:val="00F64863"/>
    <w:rsid w:val="00F66BE1"/>
    <w:rsid w:val="00F960C1"/>
    <w:rsid w:val="00FA0331"/>
    <w:rsid w:val="00FA1B2B"/>
    <w:rsid w:val="00FB3183"/>
    <w:rsid w:val="00FB47A0"/>
    <w:rsid w:val="00FC049C"/>
    <w:rsid w:val="00FC1C0E"/>
    <w:rsid w:val="00FC5ED8"/>
    <w:rsid w:val="00FE777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1FBE4"/>
  <w15:chartTrackingRefBased/>
  <w15:docId w15:val="{3FE4AB27-25C4-4C8D-869E-DAA8366E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D1678B"/>
    <w:rPr>
      <w:sz w:val="24"/>
      <w:szCs w:val="24"/>
      <w:lang w:val="en-US"/>
    </w:rPr>
  </w:style>
  <w:style w:type="paragraph" w:styleId="Heading1">
    <w:name w:val="heading 1"/>
    <w:aliases w:val="Numbered - 1"/>
    <w:basedOn w:val="Normal"/>
    <w:next w:val="Normal"/>
    <w:qFormat/>
    <w:rsid w:val="00AF1C07"/>
    <w:pPr>
      <w:keepNext/>
      <w:keepLines/>
      <w:spacing w:before="240" w:after="240"/>
      <w:outlineLvl w:val="0"/>
    </w:pPr>
    <w:rPr>
      <w:b/>
      <w:kern w:val="28"/>
    </w:rPr>
  </w:style>
  <w:style w:type="paragraph" w:styleId="Heading2">
    <w:name w:val="heading 2"/>
    <w:aliases w:val="Numbered - 2"/>
    <w:basedOn w:val="Heading1"/>
    <w:next w:val="Normal"/>
    <w:qFormat/>
    <w:rsid w:val="00AF1C07"/>
    <w:pPr>
      <w:outlineLvl w:val="1"/>
    </w:pPr>
  </w:style>
  <w:style w:type="paragraph" w:styleId="Heading3">
    <w:name w:val="heading 3"/>
    <w:aliases w:val="Numbered - 3"/>
    <w:basedOn w:val="Heading2"/>
    <w:next w:val="Normal"/>
    <w:qFormat/>
    <w:rsid w:val="00AF1C07"/>
    <w:pPr>
      <w:keepNext w:val="0"/>
      <w:keepLines w:val="0"/>
      <w:spacing w:before="0" w:after="0"/>
      <w:outlineLvl w:val="2"/>
    </w:pPr>
    <w:rPr>
      <w:b w:val="0"/>
    </w:rPr>
  </w:style>
  <w:style w:type="paragraph" w:styleId="Heading4">
    <w:name w:val="heading 4"/>
    <w:aliases w:val="Numbered - 4"/>
    <w:basedOn w:val="Heading3"/>
    <w:next w:val="Normal"/>
    <w:qFormat/>
    <w:rsid w:val="00AF1C07"/>
    <w:pPr>
      <w:outlineLvl w:val="3"/>
    </w:pPr>
  </w:style>
  <w:style w:type="paragraph" w:styleId="Heading5">
    <w:name w:val="heading 5"/>
    <w:aliases w:val="Numbered - 5"/>
    <w:basedOn w:val="Heading4"/>
    <w:next w:val="Normal"/>
    <w:qFormat/>
    <w:rsid w:val="00AF1C07"/>
    <w:pPr>
      <w:outlineLvl w:val="4"/>
    </w:pPr>
  </w:style>
  <w:style w:type="paragraph" w:styleId="Heading6">
    <w:name w:val="heading 6"/>
    <w:aliases w:val="Numbered - 6"/>
    <w:basedOn w:val="Heading5"/>
    <w:next w:val="Normal"/>
    <w:qFormat/>
    <w:rsid w:val="00AF1C07"/>
    <w:pPr>
      <w:outlineLvl w:val="5"/>
    </w:pPr>
  </w:style>
  <w:style w:type="paragraph" w:styleId="Heading7">
    <w:name w:val="heading 7"/>
    <w:aliases w:val="Numbered - 7"/>
    <w:basedOn w:val="Heading6"/>
    <w:next w:val="Normal"/>
    <w:qFormat/>
    <w:rsid w:val="00AF1C07"/>
    <w:pPr>
      <w:outlineLvl w:val="6"/>
    </w:pPr>
  </w:style>
  <w:style w:type="paragraph" w:styleId="Heading8">
    <w:name w:val="heading 8"/>
    <w:aliases w:val="Numbered - 8"/>
    <w:basedOn w:val="Heading7"/>
    <w:next w:val="Normal"/>
    <w:qFormat/>
    <w:rsid w:val="00AF1C07"/>
    <w:pPr>
      <w:outlineLvl w:val="7"/>
    </w:pPr>
  </w:style>
  <w:style w:type="paragraph" w:styleId="Heading9">
    <w:name w:val="heading 9"/>
    <w:aliases w:val="Numbered - 9"/>
    <w:basedOn w:val="Heading8"/>
    <w:next w:val="Normal"/>
    <w:qFormat/>
    <w:rsid w:val="00AF1C0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F1C07"/>
  </w:style>
  <w:style w:type="paragraph" w:styleId="BodyTextIndent">
    <w:name w:val="Body Text Indent"/>
    <w:basedOn w:val="Normal"/>
    <w:rsid w:val="00AF1C07"/>
    <w:pPr>
      <w:ind w:left="288"/>
    </w:pPr>
  </w:style>
  <w:style w:type="paragraph" w:customStyle="1" w:styleId="DeptBullets">
    <w:name w:val="DeptBullets"/>
    <w:basedOn w:val="Normal"/>
    <w:link w:val="DeptBulletsChar"/>
    <w:rsid w:val="00AF1C07"/>
    <w:pPr>
      <w:numPr>
        <w:numId w:val="1"/>
      </w:numPr>
      <w:spacing w:after="240"/>
    </w:pPr>
  </w:style>
  <w:style w:type="paragraph" w:customStyle="1" w:styleId="DeptOutNumbered">
    <w:name w:val="DeptOutNumbered"/>
    <w:basedOn w:val="Normal"/>
    <w:rsid w:val="00AF1C07"/>
    <w:pPr>
      <w:numPr>
        <w:numId w:val="2"/>
      </w:numPr>
      <w:spacing w:after="240"/>
    </w:pPr>
  </w:style>
  <w:style w:type="paragraph" w:styleId="Footer">
    <w:name w:val="footer"/>
    <w:basedOn w:val="Normal"/>
    <w:link w:val="FooterChar"/>
    <w:uiPriority w:val="99"/>
    <w:rsid w:val="00AF1C07"/>
    <w:pPr>
      <w:tabs>
        <w:tab w:val="center" w:pos="4153"/>
        <w:tab w:val="right" w:pos="8306"/>
      </w:tabs>
    </w:pPr>
  </w:style>
  <w:style w:type="paragraph" w:styleId="Header">
    <w:name w:val="header"/>
    <w:basedOn w:val="Normal"/>
    <w:rsid w:val="00AF1C07"/>
    <w:pPr>
      <w:tabs>
        <w:tab w:val="center" w:pos="4153"/>
        <w:tab w:val="right" w:pos="8306"/>
      </w:tabs>
    </w:pPr>
  </w:style>
  <w:style w:type="paragraph" w:customStyle="1" w:styleId="Heading">
    <w:name w:val="Heading"/>
    <w:basedOn w:val="Normal"/>
    <w:next w:val="Normal"/>
    <w:rsid w:val="00AF1C07"/>
    <w:pPr>
      <w:keepNext/>
      <w:keepLines/>
      <w:spacing w:before="240" w:after="240"/>
      <w:ind w:left="-720"/>
    </w:pPr>
    <w:rPr>
      <w:b/>
    </w:rPr>
  </w:style>
  <w:style w:type="paragraph" w:customStyle="1" w:styleId="MinuteTop">
    <w:name w:val="Minute Top"/>
    <w:basedOn w:val="Normal"/>
    <w:rsid w:val="00AF1C07"/>
    <w:pPr>
      <w:tabs>
        <w:tab w:val="left" w:pos="4680"/>
        <w:tab w:val="left" w:pos="5587"/>
      </w:tabs>
    </w:pPr>
  </w:style>
  <w:style w:type="paragraph" w:customStyle="1" w:styleId="Numbered">
    <w:name w:val="Numbered"/>
    <w:basedOn w:val="Normal"/>
    <w:link w:val="NumberedChar"/>
    <w:uiPriority w:val="99"/>
    <w:rsid w:val="00AF1C07"/>
    <w:pPr>
      <w:spacing w:after="240"/>
    </w:pPr>
  </w:style>
  <w:style w:type="character" w:styleId="PageNumber">
    <w:name w:val="page number"/>
    <w:basedOn w:val="DefaultParagraphFont"/>
    <w:rsid w:val="00AF1C07"/>
  </w:style>
  <w:style w:type="character" w:customStyle="1" w:styleId="PersonalComposeStyle">
    <w:name w:val="Personal Compose Style"/>
    <w:basedOn w:val="DefaultParagraphFont"/>
    <w:rsid w:val="00AF1C07"/>
    <w:rPr>
      <w:rFonts w:ascii="Arial" w:hAnsi="Arial" w:cs="Arial"/>
      <w:color w:val="auto"/>
      <w:sz w:val="20"/>
    </w:rPr>
  </w:style>
  <w:style w:type="character" w:customStyle="1" w:styleId="PersonalReplyStyle">
    <w:name w:val="Personal Reply Style"/>
    <w:basedOn w:val="DefaultParagraphFont"/>
    <w:rsid w:val="00AF1C07"/>
    <w:rPr>
      <w:rFonts w:ascii="Arial" w:hAnsi="Arial" w:cs="Arial"/>
      <w:color w:val="auto"/>
      <w:sz w:val="20"/>
    </w:rPr>
  </w:style>
  <w:style w:type="paragraph" w:customStyle="1" w:styleId="Sub-Heading">
    <w:name w:val="Sub-Heading"/>
    <w:basedOn w:val="Heading"/>
    <w:next w:val="Numbered"/>
    <w:rsid w:val="00AF1C07"/>
    <w:pPr>
      <w:spacing w:before="0"/>
    </w:pPr>
  </w:style>
  <w:style w:type="paragraph" w:styleId="Subtitle">
    <w:name w:val="Subtitle"/>
    <w:basedOn w:val="Normal"/>
    <w:qFormat/>
    <w:rsid w:val="00AF1C07"/>
    <w:pPr>
      <w:spacing w:after="60"/>
      <w:jc w:val="center"/>
    </w:pPr>
    <w:rPr>
      <w:i/>
    </w:rPr>
  </w:style>
  <w:style w:type="paragraph" w:customStyle="1" w:styleId="DfESOutNumbered">
    <w:name w:val="DfESOutNumbered"/>
    <w:basedOn w:val="Normal"/>
    <w:rsid w:val="00AF1C07"/>
    <w:pPr>
      <w:numPr>
        <w:numId w:val="4"/>
      </w:numPr>
      <w:spacing w:after="240"/>
    </w:pPr>
    <w:rPr>
      <w:rFonts w:cs="Arial"/>
      <w:sz w:val="22"/>
    </w:rPr>
  </w:style>
  <w:style w:type="paragraph" w:customStyle="1" w:styleId="DfESBullets">
    <w:name w:val="DfESBullets"/>
    <w:basedOn w:val="Normal"/>
    <w:rsid w:val="00AF1C07"/>
    <w:pPr>
      <w:numPr>
        <w:numId w:val="5"/>
      </w:numPr>
      <w:spacing w:after="240"/>
    </w:pPr>
    <w:rPr>
      <w:rFonts w:cs="Arial"/>
      <w:sz w:val="22"/>
    </w:r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rsid w:val="007463C5"/>
    <w:pPr>
      <w:ind w:left="720"/>
      <w:contextualSpacing/>
    </w:pPr>
  </w:style>
  <w:style w:type="character" w:customStyle="1" w:styleId="FooterChar">
    <w:name w:val="Footer Char"/>
    <w:basedOn w:val="DefaultParagraphFont"/>
    <w:link w:val="Footer"/>
    <w:uiPriority w:val="99"/>
    <w:rsid w:val="00D1678B"/>
    <w:rPr>
      <w:rFonts w:ascii="Arial" w:hAnsi="Arial"/>
      <w:sz w:val="24"/>
      <w:lang w:eastAsia="en-US"/>
    </w:rPr>
  </w:style>
  <w:style w:type="table" w:styleId="TableGrid">
    <w:name w:val="Table Grid"/>
    <w:basedOn w:val="TableNormal"/>
    <w:uiPriority w:val="39"/>
    <w:rsid w:val="00D1678B"/>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1678B"/>
    <w:rPr>
      <w:color w:val="0563C1"/>
      <w:u w:val="single"/>
    </w:rPr>
  </w:style>
  <w:style w:type="paragraph" w:customStyle="1" w:styleId="paragraph">
    <w:name w:val="paragraph"/>
    <w:basedOn w:val="Normal"/>
    <w:rsid w:val="00D1678B"/>
    <w:rPr>
      <w:lang w:val="en-GB"/>
    </w:rPr>
  </w:style>
  <w:style w:type="character" w:customStyle="1" w:styleId="normaltextrun1">
    <w:name w:val="normaltextrun1"/>
    <w:basedOn w:val="DefaultParagraphFont"/>
    <w:rsid w:val="00D1678B"/>
  </w:style>
  <w:style w:type="character" w:customStyle="1" w:styleId="eop">
    <w:name w:val="eop"/>
    <w:basedOn w:val="DefaultParagraphFont"/>
    <w:rsid w:val="00D1678B"/>
  </w:style>
  <w:style w:type="paragraph" w:styleId="FootnoteText">
    <w:name w:val="footnote text"/>
    <w:basedOn w:val="Normal"/>
    <w:link w:val="FootnoteTextChar"/>
    <w:uiPriority w:val="99"/>
    <w:semiHidden/>
    <w:unhideWhenUsed/>
    <w:rsid w:val="00D1678B"/>
    <w:rPr>
      <w:sz w:val="20"/>
      <w:szCs w:val="20"/>
    </w:rPr>
  </w:style>
  <w:style w:type="character" w:customStyle="1" w:styleId="FootnoteTextChar">
    <w:name w:val="Footnote Text Char"/>
    <w:basedOn w:val="DefaultParagraphFont"/>
    <w:link w:val="FootnoteText"/>
    <w:uiPriority w:val="99"/>
    <w:semiHidden/>
    <w:rsid w:val="00D1678B"/>
    <w:rPr>
      <w:lang w:val="en-US"/>
    </w:rPr>
  </w:style>
  <w:style w:type="character" w:styleId="FootnoteReference">
    <w:name w:val="footnote reference"/>
    <w:basedOn w:val="DefaultParagraphFont"/>
    <w:uiPriority w:val="99"/>
    <w:semiHidden/>
    <w:unhideWhenUsed/>
    <w:rsid w:val="00D1678B"/>
    <w:rPr>
      <w:vertAlign w:val="superscript"/>
    </w:rPr>
  </w:style>
  <w:style w:type="character" w:styleId="FollowedHyperlink">
    <w:name w:val="FollowedHyperlink"/>
    <w:basedOn w:val="DefaultParagraphFont"/>
    <w:semiHidden/>
    <w:unhideWhenUsed/>
    <w:rsid w:val="00D1678B"/>
    <w:rPr>
      <w:color w:val="800080" w:themeColor="followedHyperlink"/>
      <w:u w:val="single"/>
    </w:rPr>
  </w:style>
  <w:style w:type="paragraph" w:customStyle="1" w:styleId="Default">
    <w:name w:val="Default"/>
    <w:rsid w:val="00E048BF"/>
    <w:pPr>
      <w:autoSpaceDE w:val="0"/>
      <w:autoSpaceDN w:val="0"/>
      <w:adjustRightInd w:val="0"/>
    </w:pPr>
    <w:rPr>
      <w:rFonts w:ascii="Arial" w:hAnsi="Arial" w:cs="Arial"/>
      <w:color w:val="000000"/>
      <w:sz w:val="24"/>
      <w:szCs w:val="24"/>
    </w:rPr>
  </w:style>
  <w:style w:type="character" w:styleId="CommentReference">
    <w:name w:val="annotation reference"/>
    <w:rsid w:val="00E048BF"/>
    <w:rPr>
      <w:sz w:val="16"/>
      <w:szCs w:val="16"/>
    </w:rPr>
  </w:style>
  <w:style w:type="paragraph" w:styleId="CommentText">
    <w:name w:val="annotation text"/>
    <w:basedOn w:val="Normal"/>
    <w:link w:val="CommentTextChar"/>
    <w:uiPriority w:val="99"/>
    <w:rsid w:val="00E048BF"/>
    <w:pPr>
      <w:widowControl w:val="0"/>
      <w:overflowPunct w:val="0"/>
      <w:autoSpaceDE w:val="0"/>
      <w:autoSpaceDN w:val="0"/>
      <w:adjustRightInd w:val="0"/>
      <w:textAlignment w:val="baseline"/>
    </w:pPr>
    <w:rPr>
      <w:rFonts w:ascii="Arial" w:hAnsi="Arial" w:cs="Mangal"/>
      <w:sz w:val="20"/>
      <w:szCs w:val="18"/>
      <w:lang w:val="en-GB"/>
    </w:rPr>
  </w:style>
  <w:style w:type="character" w:customStyle="1" w:styleId="CommentTextChar">
    <w:name w:val="Comment Text Char"/>
    <w:basedOn w:val="DefaultParagraphFont"/>
    <w:link w:val="CommentText"/>
    <w:uiPriority w:val="99"/>
    <w:rsid w:val="00E048BF"/>
    <w:rPr>
      <w:rFonts w:ascii="Arial" w:hAnsi="Arial" w:cs="Mangal"/>
      <w:szCs w:val="18"/>
    </w:r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link w:val="ListParagraph"/>
    <w:uiPriority w:val="34"/>
    <w:qFormat/>
    <w:locked/>
    <w:rsid w:val="00E048BF"/>
    <w:rPr>
      <w:sz w:val="24"/>
      <w:szCs w:val="24"/>
      <w:lang w:val="en-US"/>
    </w:rPr>
  </w:style>
  <w:style w:type="character" w:customStyle="1" w:styleId="NumberedChar">
    <w:name w:val="Numbered Char"/>
    <w:link w:val="Numbered"/>
    <w:locked/>
    <w:rsid w:val="00E048BF"/>
    <w:rPr>
      <w:sz w:val="24"/>
      <w:szCs w:val="24"/>
      <w:lang w:val="en-US"/>
    </w:rPr>
  </w:style>
  <w:style w:type="paragraph" w:customStyle="1" w:styleId="Alanbody">
    <w:name w:val="Alan body"/>
    <w:basedOn w:val="Normal"/>
    <w:link w:val="AlanbodyChar"/>
    <w:uiPriority w:val="99"/>
    <w:rsid w:val="00E048BF"/>
    <w:pPr>
      <w:tabs>
        <w:tab w:val="num" w:pos="927"/>
      </w:tabs>
      <w:spacing w:after="120"/>
      <w:ind w:left="927" w:hanging="567"/>
    </w:pPr>
    <w:rPr>
      <w:rFonts w:ascii="Arial" w:hAnsi="Arial"/>
      <w:szCs w:val="20"/>
      <w:lang w:val="en-GB" w:eastAsia="en-US"/>
    </w:rPr>
  </w:style>
  <w:style w:type="character" w:customStyle="1" w:styleId="AlanbodyChar">
    <w:name w:val="Alan body Char"/>
    <w:link w:val="Alanbody"/>
    <w:uiPriority w:val="99"/>
    <w:locked/>
    <w:rsid w:val="00E048BF"/>
    <w:rPr>
      <w:rFonts w:ascii="Arial" w:hAnsi="Arial"/>
      <w:sz w:val="24"/>
      <w:lang w:eastAsia="en-US"/>
    </w:rPr>
  </w:style>
  <w:style w:type="character" w:customStyle="1" w:styleId="DeptBulletsChar">
    <w:name w:val="DeptBullets Char"/>
    <w:link w:val="DeptBullets"/>
    <w:locked/>
    <w:rsid w:val="003F4A02"/>
    <w:rPr>
      <w:sz w:val="24"/>
      <w:szCs w:val="24"/>
      <w:lang w:val="en-US"/>
    </w:rPr>
  </w:style>
  <w:style w:type="character" w:customStyle="1" w:styleId="Mention1">
    <w:name w:val="Mention1"/>
    <w:basedOn w:val="DefaultParagraphFont"/>
    <w:uiPriority w:val="99"/>
    <w:unhideWhenUsed/>
    <w:rsid w:val="003F4A02"/>
    <w:rPr>
      <w:color w:val="2B579A"/>
      <w:shd w:val="clear" w:color="auto" w:fill="E1DFDD"/>
    </w:rPr>
  </w:style>
  <w:style w:type="character" w:customStyle="1" w:styleId="normaltextrun">
    <w:name w:val="normaltextrun"/>
    <w:basedOn w:val="DefaultParagraphFont"/>
    <w:rsid w:val="007771A1"/>
  </w:style>
  <w:style w:type="paragraph" w:styleId="Revision">
    <w:name w:val="Revision"/>
    <w:hidden/>
    <w:uiPriority w:val="99"/>
    <w:semiHidden/>
    <w:rsid w:val="00866865"/>
    <w:rPr>
      <w:sz w:val="24"/>
      <w:szCs w:val="24"/>
      <w:lang w:val="en-US"/>
    </w:rPr>
  </w:style>
  <w:style w:type="table" w:styleId="GridTable4-Accent1">
    <w:name w:val="Grid Table 4 Accent 1"/>
    <w:basedOn w:val="TableNormal"/>
    <w:uiPriority w:val="49"/>
    <w:rsid w:val="00B63401"/>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hshubs@ncetm.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reencast.com/t/o6NHgMNjnf?_ncp=1608711866229.1070391-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elp_UK@jaggaer.com" TargetMode="External"/><Relationship Id="rId4" Type="http://schemas.openxmlformats.org/officeDocument/2006/relationships/webSettings" Target="webSettings.xml"/><Relationship Id="rId9" Type="http://schemas.openxmlformats.org/officeDocument/2006/relationships/hyperlink" Target="https://education.app.jaggae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1878</Words>
  <Characters>10109</Characters>
  <Application>Microsoft Office Word</Application>
  <DocSecurity>4</DocSecurity>
  <Lines>84</Lines>
  <Paragraphs>23</Paragraphs>
  <ScaleCrop>false</ScaleCrop>
  <Company/>
  <LinksUpToDate>false</LinksUpToDate>
  <CharactersWithSpaces>11964</CharactersWithSpaces>
  <SharedDoc>false</SharedDoc>
  <HLinks>
    <vt:vector size="24" baseType="variant">
      <vt:variant>
        <vt:i4>458866</vt:i4>
      </vt:variant>
      <vt:variant>
        <vt:i4>9</vt:i4>
      </vt:variant>
      <vt:variant>
        <vt:i4>0</vt:i4>
      </vt:variant>
      <vt:variant>
        <vt:i4>5</vt:i4>
      </vt:variant>
      <vt:variant>
        <vt:lpwstr>https://www.screencast.com/t/o6NHgMNjnf?_ncp=1608711866229.1070391-1</vt:lpwstr>
      </vt:variant>
      <vt:variant>
        <vt:lpwstr/>
      </vt:variant>
      <vt:variant>
        <vt:i4>4325448</vt:i4>
      </vt:variant>
      <vt:variant>
        <vt:i4>6</vt:i4>
      </vt:variant>
      <vt:variant>
        <vt:i4>0</vt:i4>
      </vt:variant>
      <vt:variant>
        <vt:i4>5</vt:i4>
      </vt:variant>
      <vt:variant>
        <vt:lpwstr>mailto:help_UK@jaggaer.com</vt:lpwstr>
      </vt:variant>
      <vt:variant>
        <vt:lpwstr/>
      </vt:variant>
      <vt:variant>
        <vt:i4>7340087</vt:i4>
      </vt:variant>
      <vt:variant>
        <vt:i4>3</vt:i4>
      </vt:variant>
      <vt:variant>
        <vt:i4>0</vt:i4>
      </vt:variant>
      <vt:variant>
        <vt:i4>5</vt:i4>
      </vt:variant>
      <vt:variant>
        <vt:lpwstr>https://education.app.jaggaer.com/</vt:lpwstr>
      </vt:variant>
      <vt:variant>
        <vt:lpwstr/>
      </vt:variant>
      <vt:variant>
        <vt:i4>1376364</vt:i4>
      </vt:variant>
      <vt:variant>
        <vt:i4>0</vt:i4>
      </vt:variant>
      <vt:variant>
        <vt:i4>0</vt:i4>
      </vt:variant>
      <vt:variant>
        <vt:i4>5</vt:i4>
      </vt:variant>
      <vt:variant>
        <vt:lpwstr>mailto:mathshubs@ncetm.org.uk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 Loren</dc:creator>
  <cp:keywords/>
  <dc:description/>
  <cp:lastModifiedBy>Andrew Young</cp:lastModifiedBy>
  <cp:revision>2</cp:revision>
  <dcterms:created xsi:type="dcterms:W3CDTF">2023-01-18T15:46:00Z</dcterms:created>
  <dcterms:modified xsi:type="dcterms:W3CDTF">2023-01-18T15:46:00Z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0x010100545E941595ED5448BA61900FDDAFF313008EC68779AECFA848BE1D61A7EE37089B</vt:lpwstr>
  </property>
  <property fmtid="{D5CDD505-2E9C-101B-9397-08002B2CF9AE}" pid="3" name="l8a135a6d3d9430494d62169a80b1c9c">
    <vt:lpwstr>DfE|a484111e-5b24-4ad9-9778-c536c8c88985</vt:lpwstr>
  </property>
  <property fmtid="{D5CDD505-2E9C-101B-9397-08002B2CF9AE}" pid="4" name="oc563b38f2bb43358b5d05f2bb99f9b9">
    <vt:lpwstr>Official|0884c477-2e62-47ea-b19c-5af6e91124c5</vt:lpwstr>
  </property>
  <property fmtid="{D5CDD505-2E9C-101B-9397-08002B2CF9AE}" pid="5" name="d5c026ff2fb84cc4b09fc7085eed7f17">
    <vt:lpwstr>DfE|cc08a6d4-dfde-4d0f-bd85-069ebcef80d5</vt:lpwstr>
  </property>
  <property fmtid="{D5CDD505-2E9C-101B-9397-08002B2CF9AE}" pid="6" name="_dlc_DocIdItemGuid">
    <vt:lpwstr>c3016527-cad3-4dcb-8f29-cb53f348e1fd</vt:lpwstr>
  </property>
  <property fmtid="{D5CDD505-2E9C-101B-9397-08002B2CF9AE}" pid="7" name="DfeOrganisationalUnit">
    <vt:lpwstr>2;#DfE|cc08a6d4-dfde-4d0f-bd85-069ebcef80d5</vt:lpwstr>
  </property>
  <property fmtid="{D5CDD505-2E9C-101B-9397-08002B2CF9AE}" pid="8" name="DfeRights:ProtectiveMarking">
    <vt:lpwstr>1;#Official|0884c477-2e62-47ea-b19c-5af6e91124c5</vt:lpwstr>
  </property>
  <property fmtid="{D5CDD505-2E9C-101B-9397-08002B2CF9AE}" pid="9" name="DfeOwner">
    <vt:lpwstr>3;#DfE|a484111e-5b24-4ad9-9778-c536c8c88985</vt:lpwstr>
  </property>
  <property fmtid="{D5CDD505-2E9C-101B-9397-08002B2CF9AE}" pid="10" name="IWPOrganisationalUnit">
    <vt:lpwstr>2;#DfE|cc08a6d4-dfde-4d0f-bd85-069ebcef80d5</vt:lpwstr>
  </property>
  <property fmtid="{D5CDD505-2E9C-101B-9397-08002B2CF9AE}" pid="11" name="IWPOwner">
    <vt:lpwstr>3;#DfE|a484111e-5b24-4ad9-9778-c536c8c88985</vt:lpwstr>
  </property>
  <property fmtid="{D5CDD505-2E9C-101B-9397-08002B2CF9AE}" pid="12" name="IWPSiteType">
    <vt:lpwstr/>
  </property>
  <property fmtid="{D5CDD505-2E9C-101B-9397-08002B2CF9AE}" pid="13" name="IWPRightsProtectiveMarking">
    <vt:lpwstr>1;#Official|0884c477-2e62-47ea-b19c-5af6e91124c5</vt:lpwstr>
  </property>
  <property fmtid="{D5CDD505-2E9C-101B-9397-08002B2CF9AE}" pid="14" name="IWPSubject">
    <vt:lpwstr/>
  </property>
  <property fmtid="{D5CDD505-2E9C-101B-9397-08002B2CF9AE}" pid="15" name="i7594126e4b94921b33c7891608bb703">
    <vt:lpwstr/>
  </property>
  <property fmtid="{D5CDD505-2E9C-101B-9397-08002B2CF9AE}" pid="16" name="h5181134883947a99a38d116ffff0006">
    <vt:lpwstr/>
  </property>
  <property fmtid="{D5CDD505-2E9C-101B-9397-08002B2CF9AE}" pid="17" name="DfeSubject">
    <vt:lpwstr/>
  </property>
  <property fmtid="{D5CDD505-2E9C-101B-9397-08002B2CF9AE}" pid="18" name="IWPFunction">
    <vt:lpwstr/>
  </property>
  <property fmtid="{D5CDD505-2E9C-101B-9397-08002B2CF9AE}" pid="19" name="i6622719919f4b9183e118da79adc1e3">
    <vt:lpwstr/>
  </property>
</Properties>
</file>